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ABEB1">
      <w:pPr>
        <w:jc w:val="center"/>
        <w:rPr>
          <w:rFonts w:ascii="宋体"/>
          <w:b/>
          <w:sz w:val="32"/>
          <w:szCs w:val="32"/>
        </w:rPr>
      </w:pPr>
    </w:p>
    <w:p w14:paraId="148B81D7">
      <w:pPr>
        <w:jc w:val="center"/>
        <w:rPr>
          <w:rFonts w:ascii="宋体"/>
          <w:b/>
          <w:sz w:val="32"/>
          <w:szCs w:val="32"/>
        </w:rPr>
      </w:pPr>
    </w:p>
    <w:p w14:paraId="7D30877D">
      <w:pPr>
        <w:jc w:val="center"/>
        <w:rPr>
          <w:rFonts w:ascii="宋体"/>
          <w:b/>
          <w:sz w:val="32"/>
          <w:szCs w:val="32"/>
        </w:rPr>
      </w:pPr>
    </w:p>
    <w:p w14:paraId="51A5D0D2">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772299EB">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《高寒区日光温室香菇</w:t>
      </w:r>
      <w:r>
        <w:rPr>
          <w:rFonts w:hint="eastAsia" w:ascii="黑体" w:eastAsia="黑体" w:hAnsiTheme="minorHAnsi" w:cstheme="minorBidi"/>
          <w:b/>
          <w:kern w:val="22"/>
          <w:sz w:val="44"/>
          <w:szCs w:val="44"/>
          <w:lang w:eastAsia="zh-CN"/>
        </w:rPr>
        <w:t>代</w:t>
      </w:r>
      <w:r>
        <w:rPr>
          <w:rFonts w:hint="eastAsia" w:ascii="黑体" w:eastAsia="黑体" w:hAnsiTheme="minorHAnsi" w:cstheme="minorBidi"/>
          <w:b/>
          <w:kern w:val="22"/>
          <w:sz w:val="44"/>
          <w:szCs w:val="44"/>
        </w:rPr>
        <w:t>料生产</w:t>
      </w:r>
      <w:r>
        <w:rPr>
          <w:rFonts w:hint="eastAsia" w:ascii="黑体" w:eastAsia="黑体" w:hAnsiTheme="minorHAnsi" w:cstheme="minorBidi"/>
          <w:b/>
          <w:kern w:val="22"/>
          <w:sz w:val="44"/>
          <w:szCs w:val="44"/>
          <w:lang w:eastAsia="zh-CN"/>
        </w:rPr>
        <w:t>技术规程</w:t>
      </w:r>
      <w:r>
        <w:rPr>
          <w:rFonts w:hint="eastAsia" w:ascii="黑体" w:eastAsia="黑体" w:hAnsiTheme="minorHAnsi" w:cstheme="minorBidi"/>
          <w:b/>
          <w:kern w:val="22"/>
          <w:sz w:val="44"/>
          <w:szCs w:val="44"/>
        </w:rPr>
        <w:t>》</w:t>
      </w:r>
    </w:p>
    <w:p w14:paraId="3E5DE454">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6EF5141B">
      <w:pPr>
        <w:ind w:firstLine="643" w:firstLineChars="200"/>
        <w:rPr>
          <w:rFonts w:ascii="仿宋" w:hAnsi="仿宋" w:eastAsia="仿宋"/>
          <w:b/>
          <w:sz w:val="32"/>
          <w:szCs w:val="32"/>
        </w:rPr>
      </w:pPr>
    </w:p>
    <w:p w14:paraId="3BC7A01F">
      <w:pPr>
        <w:ind w:firstLine="643" w:firstLineChars="200"/>
        <w:rPr>
          <w:rFonts w:ascii="仿宋" w:hAnsi="仿宋" w:eastAsia="仿宋"/>
          <w:b/>
          <w:sz w:val="32"/>
          <w:szCs w:val="32"/>
        </w:rPr>
      </w:pPr>
    </w:p>
    <w:p w14:paraId="5E8BC315">
      <w:pPr>
        <w:ind w:firstLine="643" w:firstLineChars="200"/>
        <w:rPr>
          <w:rFonts w:ascii="仿宋" w:hAnsi="仿宋" w:eastAsia="仿宋"/>
          <w:b/>
          <w:sz w:val="32"/>
          <w:szCs w:val="32"/>
        </w:rPr>
      </w:pPr>
    </w:p>
    <w:p w14:paraId="69E67E18">
      <w:pPr>
        <w:ind w:firstLine="643" w:firstLineChars="200"/>
        <w:rPr>
          <w:rFonts w:ascii="仿宋" w:hAnsi="仿宋" w:eastAsia="仿宋"/>
          <w:b/>
          <w:sz w:val="32"/>
          <w:szCs w:val="32"/>
        </w:rPr>
      </w:pPr>
    </w:p>
    <w:p w14:paraId="7C44C0AD">
      <w:pPr>
        <w:ind w:firstLine="643" w:firstLineChars="200"/>
        <w:rPr>
          <w:rFonts w:ascii="仿宋" w:hAnsi="仿宋" w:eastAsia="仿宋"/>
          <w:b/>
          <w:sz w:val="32"/>
          <w:szCs w:val="32"/>
        </w:rPr>
      </w:pPr>
    </w:p>
    <w:p w14:paraId="2DCAB0B7">
      <w:pPr>
        <w:ind w:firstLine="643" w:firstLineChars="200"/>
        <w:rPr>
          <w:rFonts w:ascii="仿宋" w:hAnsi="仿宋" w:eastAsia="仿宋"/>
          <w:b/>
          <w:sz w:val="32"/>
          <w:szCs w:val="32"/>
        </w:rPr>
      </w:pPr>
    </w:p>
    <w:p w14:paraId="0F50F1A9">
      <w:pPr>
        <w:ind w:firstLine="643" w:firstLineChars="200"/>
        <w:rPr>
          <w:rFonts w:ascii="仿宋" w:hAnsi="仿宋" w:eastAsia="仿宋"/>
          <w:b/>
          <w:sz w:val="32"/>
          <w:szCs w:val="32"/>
        </w:rPr>
      </w:pPr>
    </w:p>
    <w:p w14:paraId="17D2B7A3">
      <w:pPr>
        <w:ind w:firstLine="643" w:firstLineChars="200"/>
        <w:jc w:val="center"/>
        <w:rPr>
          <w:rFonts w:ascii="仿宋" w:hAnsi="仿宋" w:eastAsia="仿宋"/>
          <w:b/>
          <w:sz w:val="32"/>
          <w:szCs w:val="32"/>
        </w:rPr>
      </w:pPr>
    </w:p>
    <w:p w14:paraId="173C1457">
      <w:pPr>
        <w:ind w:firstLine="643" w:firstLineChars="200"/>
        <w:jc w:val="center"/>
        <w:rPr>
          <w:rFonts w:ascii="宋体"/>
          <w:b/>
          <w:sz w:val="32"/>
          <w:szCs w:val="32"/>
        </w:rPr>
      </w:pPr>
    </w:p>
    <w:p w14:paraId="30CDE7F4">
      <w:pPr>
        <w:ind w:firstLine="643" w:firstLineChars="200"/>
        <w:jc w:val="center"/>
        <w:rPr>
          <w:rFonts w:ascii="宋体"/>
          <w:b/>
          <w:sz w:val="32"/>
          <w:szCs w:val="32"/>
        </w:rPr>
      </w:pPr>
    </w:p>
    <w:p w14:paraId="70198871">
      <w:pPr>
        <w:ind w:firstLine="643" w:firstLineChars="200"/>
        <w:jc w:val="center"/>
        <w:rPr>
          <w:rFonts w:ascii="宋体"/>
          <w:b/>
          <w:sz w:val="32"/>
          <w:szCs w:val="32"/>
        </w:rPr>
      </w:pPr>
    </w:p>
    <w:p w14:paraId="1BA642B3">
      <w:pPr>
        <w:spacing w:line="360" w:lineRule="auto"/>
        <w:jc w:val="center"/>
        <w:rPr>
          <w:rFonts w:hint="default" w:ascii="宋体" w:hAnsi="宋体" w:eastAsia="宋体"/>
          <w:b/>
          <w:kern w:val="22"/>
          <w:sz w:val="10"/>
          <w:szCs w:val="10"/>
          <w:lang w:val="en-US" w:eastAsia="zh-CN"/>
        </w:rPr>
      </w:pPr>
      <w:r>
        <w:rPr>
          <w:rFonts w:hint="eastAsia" w:ascii="宋体" w:hAnsi="宋体"/>
          <w:b/>
          <w:kern w:val="22"/>
          <w:sz w:val="32"/>
          <w:szCs w:val="32"/>
        </w:rPr>
        <w:t>编制单位：</w:t>
      </w:r>
      <w:r>
        <w:rPr>
          <w:rFonts w:hint="eastAsia" w:ascii="宋体" w:hAnsi="宋体"/>
          <w:b/>
          <w:sz w:val="32"/>
          <w:szCs w:val="32"/>
          <w:lang w:eastAsia="zh-CN"/>
        </w:rPr>
        <w:t>山西农业大学</w:t>
      </w:r>
    </w:p>
    <w:p w14:paraId="3BC6CD23">
      <w:pPr>
        <w:jc w:val="center"/>
        <w:rPr>
          <w:rFonts w:ascii="宋体" w:hAnsi="宋体"/>
          <w:b/>
          <w:sz w:val="32"/>
          <w:szCs w:val="32"/>
        </w:rPr>
      </w:pPr>
      <w:r>
        <w:rPr>
          <w:rFonts w:hint="eastAsia" w:ascii="宋体" w:hAnsi="宋体"/>
          <w:b/>
          <w:sz w:val="32"/>
          <w:szCs w:val="32"/>
        </w:rPr>
        <w:t xml:space="preserve"> 二〇</w:t>
      </w:r>
      <w:r>
        <w:rPr>
          <w:rFonts w:hint="eastAsia" w:ascii="宋体" w:hAnsi="宋体"/>
          <w:b/>
          <w:sz w:val="32"/>
          <w:szCs w:val="32"/>
          <w:lang w:eastAsia="zh-CN"/>
        </w:rPr>
        <w:t>二四</w:t>
      </w:r>
      <w:r>
        <w:rPr>
          <w:rFonts w:hint="eastAsia" w:ascii="宋体" w:hAnsi="宋体"/>
          <w:b/>
          <w:sz w:val="32"/>
          <w:szCs w:val="32"/>
        </w:rPr>
        <w:t>年</w:t>
      </w:r>
      <w:r>
        <w:rPr>
          <w:rFonts w:hint="eastAsia" w:ascii="宋体" w:hAnsi="宋体"/>
          <w:b/>
          <w:sz w:val="32"/>
          <w:szCs w:val="32"/>
          <w:lang w:eastAsia="zh-CN"/>
        </w:rPr>
        <w:t>十</w:t>
      </w:r>
      <w:r>
        <w:rPr>
          <w:rFonts w:hint="eastAsia" w:ascii="宋体" w:hAnsi="宋体"/>
          <w:b/>
          <w:sz w:val="32"/>
          <w:szCs w:val="32"/>
        </w:rPr>
        <w:t>月</w:t>
      </w:r>
    </w:p>
    <w:p w14:paraId="4C5DE7B5">
      <w:pPr>
        <w:jc w:val="center"/>
        <w:rPr>
          <w:rFonts w:ascii="宋体" w:hAnsi="宋体"/>
          <w:b/>
          <w:sz w:val="32"/>
          <w:szCs w:val="32"/>
        </w:rPr>
      </w:pPr>
    </w:p>
    <w:p w14:paraId="05119EAE">
      <w:pPr>
        <w:jc w:val="center"/>
        <w:rPr>
          <w:rFonts w:ascii="宋体" w:hAnsi="宋体"/>
          <w:b/>
          <w:sz w:val="32"/>
          <w:szCs w:val="32"/>
        </w:rPr>
      </w:pPr>
    </w:p>
    <w:p w14:paraId="2862B585">
      <w:pPr>
        <w:jc w:val="center"/>
        <w:rPr>
          <w:rFonts w:ascii="宋体" w:hAnsi="宋体"/>
          <w:b/>
          <w:sz w:val="32"/>
          <w:szCs w:val="32"/>
        </w:rPr>
      </w:pPr>
    </w:p>
    <w:p w14:paraId="16F02AD5">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
          <w:sz w:val="30"/>
          <w:szCs w:val="30"/>
        </w:rPr>
      </w:pPr>
      <w:r>
        <w:rPr>
          <w:rFonts w:hint="eastAsia" w:ascii="宋体" w:hAnsi="宋体"/>
          <w:b/>
          <w:sz w:val="30"/>
          <w:szCs w:val="30"/>
        </w:rPr>
        <w:t>山西省地方标准</w:t>
      </w:r>
    </w:p>
    <w:p w14:paraId="089E559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ascii="宋体"/>
          <w:b/>
          <w:sz w:val="30"/>
          <w:szCs w:val="30"/>
        </w:rPr>
      </w:pPr>
      <w:r>
        <w:rPr>
          <w:rFonts w:hint="eastAsia" w:ascii="宋体" w:hAnsi="宋体"/>
          <w:b/>
          <w:sz w:val="30"/>
          <w:szCs w:val="30"/>
        </w:rPr>
        <w:t>《高寒区日光温室香菇</w:t>
      </w:r>
      <w:r>
        <w:rPr>
          <w:rFonts w:hint="eastAsia" w:ascii="宋体" w:hAnsi="宋体"/>
          <w:b/>
          <w:sz w:val="30"/>
          <w:szCs w:val="30"/>
          <w:lang w:eastAsia="zh-CN"/>
        </w:rPr>
        <w:t>代料</w:t>
      </w:r>
      <w:r>
        <w:rPr>
          <w:rFonts w:hint="eastAsia" w:ascii="宋体" w:hAnsi="宋体"/>
          <w:b/>
          <w:sz w:val="30"/>
          <w:szCs w:val="30"/>
        </w:rPr>
        <w:t>生产</w:t>
      </w:r>
      <w:r>
        <w:rPr>
          <w:rFonts w:hint="eastAsia" w:ascii="宋体" w:hAnsi="宋体"/>
          <w:b/>
          <w:sz w:val="30"/>
          <w:szCs w:val="30"/>
          <w:lang w:eastAsia="zh-CN"/>
        </w:rPr>
        <w:t>技术</w:t>
      </w:r>
      <w:r>
        <w:rPr>
          <w:rFonts w:hint="eastAsia" w:ascii="宋体" w:hAnsi="宋体"/>
          <w:b/>
          <w:sz w:val="30"/>
          <w:szCs w:val="30"/>
        </w:rPr>
        <w:t>规程》</w:t>
      </w:r>
    </w:p>
    <w:p w14:paraId="43DE753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编制说明</w:t>
      </w:r>
    </w:p>
    <w:p w14:paraId="7D914B3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p>
    <w:p w14:paraId="34C66C19">
      <w:pPr>
        <w:spacing w:line="360" w:lineRule="auto"/>
        <w:ind w:firstLine="480" w:firstLineChars="200"/>
        <w:outlineLvl w:val="0"/>
        <w:rPr>
          <w:rFonts w:ascii="黑体" w:eastAsia="黑体"/>
          <w:sz w:val="24"/>
        </w:rPr>
      </w:pPr>
      <w:r>
        <w:rPr>
          <w:rFonts w:hint="eastAsia" w:ascii="黑体" w:eastAsia="黑体"/>
          <w:sz w:val="24"/>
        </w:rPr>
        <w:t>一、工作简况</w:t>
      </w:r>
    </w:p>
    <w:p w14:paraId="19E05F4D">
      <w:pPr>
        <w:spacing w:line="360" w:lineRule="auto"/>
        <w:ind w:left="465"/>
        <w:outlineLvl w:val="1"/>
        <w:rPr>
          <w:rFonts w:ascii="楷体_GB2312" w:eastAsia="楷体_GB2312"/>
          <w:sz w:val="24"/>
        </w:rPr>
      </w:pPr>
      <w:r>
        <w:rPr>
          <w:rFonts w:hint="eastAsia" w:ascii="楷体_GB2312" w:eastAsia="楷体_GB2312"/>
          <w:sz w:val="24"/>
        </w:rPr>
        <w:t>1任务来源</w:t>
      </w:r>
    </w:p>
    <w:p w14:paraId="14936FDD">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lang w:val="en-US" w:eastAsia="zh-CN"/>
        </w:rPr>
        <w:t>按照</w:t>
      </w:r>
      <w:r>
        <w:rPr>
          <w:rFonts w:hint="eastAsia" w:ascii="仿宋_GB2312" w:hAnsi="宋体" w:eastAsia="仿宋_GB2312"/>
          <w:sz w:val="24"/>
        </w:rPr>
        <w:t>山西省市场监督管理局关于2022年度省级地方标准复审结论公告（山西省地方标准公告2022年第20号），《高寒区日光温室香菇</w:t>
      </w:r>
      <w:r>
        <w:rPr>
          <w:rFonts w:hint="eastAsia" w:ascii="仿宋_GB2312" w:hAnsi="宋体" w:eastAsia="仿宋_GB2312"/>
          <w:sz w:val="24"/>
          <w:lang w:eastAsia="zh-CN"/>
        </w:rPr>
        <w:t>代料</w:t>
      </w:r>
      <w:r>
        <w:rPr>
          <w:rFonts w:hint="eastAsia" w:ascii="仿宋_GB2312" w:hAnsi="宋体" w:eastAsia="仿宋_GB2312"/>
          <w:sz w:val="24"/>
        </w:rPr>
        <w:t>生产</w:t>
      </w:r>
      <w:r>
        <w:rPr>
          <w:rFonts w:hint="eastAsia" w:ascii="仿宋_GB2312" w:hAnsi="宋体" w:eastAsia="仿宋_GB2312"/>
          <w:sz w:val="24"/>
          <w:lang w:eastAsia="zh-CN"/>
        </w:rPr>
        <w:t>技术规程</w:t>
      </w:r>
      <w:r>
        <w:rPr>
          <w:rFonts w:hint="eastAsia" w:ascii="仿宋_GB2312" w:hAnsi="宋体" w:eastAsia="仿宋_GB2312"/>
          <w:sz w:val="24"/>
        </w:rPr>
        <w:t>》DB14/T</w:t>
      </w:r>
      <w:r>
        <w:rPr>
          <w:rFonts w:hint="eastAsia" w:ascii="仿宋_GB2312" w:hAnsi="宋体" w:eastAsia="仿宋_GB2312"/>
          <w:sz w:val="24"/>
          <w:lang w:val="en-US" w:eastAsia="zh-CN"/>
        </w:rPr>
        <w:t xml:space="preserve"> DB14/T 1054—2015被</w:t>
      </w:r>
      <w:r>
        <w:rPr>
          <w:rFonts w:hint="eastAsia" w:ascii="仿宋_GB2312" w:hAnsi="宋体" w:eastAsia="仿宋_GB2312"/>
          <w:sz w:val="24"/>
        </w:rPr>
        <w:t>列</w:t>
      </w:r>
      <w:r>
        <w:rPr>
          <w:rFonts w:hint="eastAsia" w:ascii="仿宋_GB2312" w:hAnsi="宋体" w:eastAsia="仿宋_GB2312"/>
          <w:sz w:val="24"/>
          <w:lang w:val="en-US" w:eastAsia="zh-CN"/>
        </w:rPr>
        <w:t>入</w:t>
      </w:r>
      <w:r>
        <w:rPr>
          <w:rFonts w:hint="eastAsia" w:ascii="仿宋_GB2312" w:hAnsi="宋体" w:eastAsia="仿宋_GB2312"/>
          <w:sz w:val="24"/>
        </w:rPr>
        <w:t>山西省地方标准修订计划，本标准由山西省农业标准化技术委员会（SXS/TC19）归口。</w:t>
      </w:r>
    </w:p>
    <w:p w14:paraId="79B01604">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14:paraId="29B96164">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w:t>
      </w:r>
      <w:r>
        <w:rPr>
          <w:rFonts w:hint="eastAsia" w:ascii="仿宋_GB2312" w:hAnsi="宋体" w:eastAsia="仿宋_GB2312"/>
          <w:sz w:val="24"/>
        </w:rPr>
        <w:t>山西农业大学</w:t>
      </w:r>
      <w:r>
        <w:rPr>
          <w:rFonts w:hint="eastAsia" w:ascii="仿宋_GB2312" w:hAnsi="宋体" w:eastAsia="仿宋_GB2312"/>
          <w:sz w:val="24"/>
          <w:lang w:eastAsia="zh-CN"/>
        </w:rPr>
        <w:t>承担</w:t>
      </w:r>
      <w:r>
        <w:rPr>
          <w:rFonts w:ascii="仿宋_GB2312" w:hAnsi="宋体" w:eastAsia="仿宋_GB2312"/>
          <w:sz w:val="24"/>
        </w:rPr>
        <w:t>。</w:t>
      </w:r>
    </w:p>
    <w:p w14:paraId="0C1C75E2">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3"/>
        <w:tblW w:w="86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3472"/>
        <w:gridCol w:w="1263"/>
      </w:tblGrid>
      <w:tr w14:paraId="66DE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14:paraId="40BDA010">
            <w:pPr>
              <w:spacing w:line="400" w:lineRule="exact"/>
              <w:jc w:val="center"/>
              <w:rPr>
                <w:rFonts w:ascii="仿宋" w:hAnsi="仿宋" w:eastAsia="仿宋" w:cs="Courier New"/>
                <w:sz w:val="24"/>
              </w:rPr>
            </w:pPr>
            <w:r>
              <w:rPr>
                <w:rFonts w:hint="eastAsia" w:ascii="仿宋" w:hAnsi="仿宋" w:eastAsia="仿宋" w:cs="Courier New"/>
                <w:sz w:val="24"/>
              </w:rPr>
              <w:t>姓名</w:t>
            </w:r>
          </w:p>
        </w:tc>
        <w:tc>
          <w:tcPr>
            <w:tcW w:w="993" w:type="dxa"/>
          </w:tcPr>
          <w:p w14:paraId="3596050D">
            <w:pPr>
              <w:spacing w:line="400" w:lineRule="exact"/>
              <w:jc w:val="center"/>
              <w:rPr>
                <w:rFonts w:ascii="仿宋" w:hAnsi="仿宋" w:eastAsia="仿宋" w:cs="Courier New"/>
                <w:sz w:val="24"/>
              </w:rPr>
            </w:pPr>
            <w:r>
              <w:rPr>
                <w:rFonts w:hint="eastAsia" w:ascii="仿宋" w:hAnsi="仿宋" w:eastAsia="仿宋" w:cs="Courier New"/>
                <w:sz w:val="24"/>
              </w:rPr>
              <w:t>性别</w:t>
            </w:r>
          </w:p>
        </w:tc>
        <w:tc>
          <w:tcPr>
            <w:tcW w:w="1701" w:type="dxa"/>
          </w:tcPr>
          <w:p w14:paraId="3E9EC8B5">
            <w:pPr>
              <w:spacing w:line="400" w:lineRule="exact"/>
              <w:jc w:val="center"/>
              <w:rPr>
                <w:rFonts w:ascii="仿宋" w:hAnsi="仿宋" w:eastAsia="仿宋" w:cs="Courier New"/>
                <w:sz w:val="24"/>
              </w:rPr>
            </w:pPr>
            <w:r>
              <w:rPr>
                <w:rFonts w:hint="eastAsia" w:ascii="仿宋" w:hAnsi="仿宋" w:eastAsia="仿宋" w:cs="Courier New"/>
                <w:sz w:val="24"/>
              </w:rPr>
              <w:t>职务/职称</w:t>
            </w:r>
          </w:p>
        </w:tc>
        <w:tc>
          <w:tcPr>
            <w:tcW w:w="3472" w:type="dxa"/>
          </w:tcPr>
          <w:p w14:paraId="420498A6">
            <w:pPr>
              <w:spacing w:line="400" w:lineRule="exact"/>
              <w:jc w:val="center"/>
              <w:rPr>
                <w:rFonts w:ascii="仿宋" w:hAnsi="仿宋" w:eastAsia="仿宋" w:cs="Courier New"/>
                <w:sz w:val="24"/>
              </w:rPr>
            </w:pPr>
            <w:r>
              <w:rPr>
                <w:rFonts w:hint="eastAsia" w:ascii="仿宋" w:hAnsi="仿宋" w:eastAsia="仿宋" w:cs="Courier New"/>
                <w:sz w:val="24"/>
              </w:rPr>
              <w:t>工作单位</w:t>
            </w:r>
          </w:p>
        </w:tc>
        <w:tc>
          <w:tcPr>
            <w:tcW w:w="1263" w:type="dxa"/>
          </w:tcPr>
          <w:p w14:paraId="242202EA">
            <w:pPr>
              <w:spacing w:line="400" w:lineRule="exact"/>
              <w:jc w:val="center"/>
              <w:rPr>
                <w:rFonts w:ascii="仿宋" w:hAnsi="仿宋" w:eastAsia="仿宋" w:cs="Courier New"/>
                <w:sz w:val="24"/>
              </w:rPr>
            </w:pPr>
            <w:r>
              <w:rPr>
                <w:rFonts w:hint="eastAsia" w:ascii="仿宋" w:hAnsi="仿宋" w:eastAsia="仿宋" w:cs="Courier New"/>
                <w:sz w:val="24"/>
              </w:rPr>
              <w:t>任务分工</w:t>
            </w:r>
          </w:p>
        </w:tc>
      </w:tr>
      <w:tr w14:paraId="03EA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14:paraId="0928CC3C">
            <w:pPr>
              <w:keepNext w:val="0"/>
              <w:keepLines w:val="0"/>
              <w:widowControl w:val="0"/>
              <w:suppressLineNumbers w:val="0"/>
              <w:spacing w:before="0" w:beforeAutospacing="0" w:after="0" w:afterAutospacing="0"/>
              <w:ind w:left="0" w:leftChars="0" w:right="0" w:rightChars="0"/>
              <w:jc w:val="center"/>
              <w:rPr>
                <w:rFonts w:hint="eastAsia" w:ascii="仿宋_GB2312" w:hAnsi="宋体" w:eastAsia="仿宋_GB2312" w:cs="仿宋_GB2312"/>
                <w:color w:val="000000"/>
                <w:kern w:val="2"/>
                <w:sz w:val="24"/>
                <w:szCs w:val="24"/>
                <w:lang w:val="en-US" w:eastAsia="zh-CN" w:bidi="ar"/>
              </w:rPr>
            </w:pPr>
            <w:r>
              <w:rPr>
                <w:rFonts w:hint="eastAsia" w:ascii="仿宋_GB2312" w:hAnsi="宋体" w:eastAsia="仿宋_GB2312" w:cs="仿宋_GB2312"/>
                <w:color w:val="000000"/>
                <w:kern w:val="2"/>
                <w:sz w:val="24"/>
                <w:szCs w:val="24"/>
                <w:lang w:val="en-US" w:eastAsia="zh-CN" w:bidi="ar"/>
              </w:rPr>
              <w:t>凌亮</w:t>
            </w:r>
          </w:p>
        </w:tc>
        <w:tc>
          <w:tcPr>
            <w:tcW w:w="993" w:type="dxa"/>
            <w:vAlign w:val="center"/>
          </w:tcPr>
          <w:p w14:paraId="33CC0D8B">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男</w:t>
            </w:r>
          </w:p>
        </w:tc>
        <w:tc>
          <w:tcPr>
            <w:tcW w:w="1701" w:type="dxa"/>
            <w:vAlign w:val="center"/>
          </w:tcPr>
          <w:p w14:paraId="61746F31">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院党政办主任</w:t>
            </w:r>
            <w:r>
              <w:rPr>
                <w:rFonts w:hint="eastAsia" w:ascii="仿宋" w:hAnsi="仿宋" w:eastAsia="仿宋" w:cs="Courier New"/>
                <w:sz w:val="24"/>
                <w:lang w:val="en-US" w:eastAsia="zh-CN"/>
              </w:rPr>
              <w:t>/</w:t>
            </w:r>
            <w:r>
              <w:rPr>
                <w:rFonts w:hint="eastAsia" w:ascii="仿宋" w:hAnsi="仿宋" w:eastAsia="仿宋" w:cs="Courier New"/>
                <w:sz w:val="24"/>
                <w:lang w:eastAsia="zh-CN"/>
              </w:rPr>
              <w:t>副研究员</w:t>
            </w:r>
          </w:p>
        </w:tc>
        <w:tc>
          <w:tcPr>
            <w:tcW w:w="3472" w:type="dxa"/>
            <w:vAlign w:val="center"/>
          </w:tcPr>
          <w:p w14:paraId="42FCF15E">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Courier New"/>
                <w:sz w:val="24"/>
                <w:lang w:val="en-US" w:eastAsia="zh-CN"/>
              </w:rPr>
            </w:pPr>
            <w:r>
              <w:rPr>
                <w:rFonts w:hint="default" w:ascii="仿宋_GB2312" w:hAnsi="宋体" w:eastAsia="仿宋_GB2312" w:cs="仿宋_GB2312"/>
                <w:color w:val="000000"/>
                <w:kern w:val="2"/>
                <w:sz w:val="24"/>
                <w:szCs w:val="24"/>
                <w:lang w:val="en-US" w:eastAsia="zh-CN" w:bidi="ar"/>
              </w:rPr>
              <w:t>山西农业大学</w:t>
            </w:r>
          </w:p>
        </w:tc>
        <w:tc>
          <w:tcPr>
            <w:tcW w:w="1263" w:type="dxa"/>
            <w:vAlign w:val="center"/>
          </w:tcPr>
          <w:p w14:paraId="3D507870">
            <w:pPr>
              <w:pStyle w:val="11"/>
              <w:keepNext w:val="0"/>
              <w:keepLines w:val="0"/>
              <w:widowControl w:val="0"/>
              <w:suppressLineNumbers w:val="0"/>
              <w:autoSpaceDE w:val="0"/>
              <w:autoSpaceDN w:val="0"/>
              <w:spacing w:before="0" w:beforeAutospacing="0" w:after="0" w:afterAutospacing="0"/>
              <w:ind w:left="0" w:leftChars="0" w:right="0" w:rightChars="0" w:firstLine="0" w:firstLineChars="0"/>
              <w:jc w:val="center"/>
              <w:rPr>
                <w:rFonts w:hint="eastAsia" w:ascii="仿宋" w:hAnsi="仿宋" w:eastAsia="仿宋" w:cs="Courier New"/>
                <w:sz w:val="24"/>
              </w:rPr>
            </w:pPr>
            <w:r>
              <w:rPr>
                <w:rFonts w:hint="eastAsia" w:ascii="仿宋_GB2312" w:eastAsia="仿宋_GB2312" w:cs="仿宋_GB2312"/>
                <w:color w:val="000000"/>
                <w:kern w:val="2"/>
                <w:sz w:val="24"/>
                <w:szCs w:val="24"/>
                <w:lang w:val="en-US" w:eastAsia="zh-CN" w:bidi="ar"/>
              </w:rPr>
              <w:t>标准编制</w:t>
            </w:r>
          </w:p>
        </w:tc>
      </w:tr>
      <w:tr w14:paraId="1D3B3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242" w:type="dxa"/>
            <w:vAlign w:val="center"/>
          </w:tcPr>
          <w:p w14:paraId="20A82D6B">
            <w:pPr>
              <w:pStyle w:val="33"/>
              <w:keepNext w:val="0"/>
              <w:keepLines w:val="0"/>
              <w:suppressLineNumbers w:val="0"/>
              <w:spacing w:before="0" w:beforeAutospacing="0" w:after="0" w:afterAutospacing="0"/>
              <w:ind w:left="0" w:leftChars="0" w:right="0" w:rightChars="0"/>
              <w:jc w:val="center"/>
              <w:rPr>
                <w:rFonts w:hint="eastAsia" w:ascii="仿宋_GB2312" w:hAnsi="宋体" w:eastAsia="仿宋_GB2312" w:cs="仿宋_GB2312"/>
                <w:color w:val="000000"/>
                <w:kern w:val="2"/>
                <w:sz w:val="24"/>
                <w:szCs w:val="24"/>
                <w:lang w:val="en-US" w:eastAsia="zh-CN" w:bidi="ar"/>
              </w:rPr>
            </w:pPr>
            <w:r>
              <w:rPr>
                <w:rFonts w:hint="eastAsia" w:ascii="仿宋_GB2312" w:hAnsi="宋体" w:eastAsia="仿宋_GB2312" w:cs="仿宋_GB2312"/>
                <w:color w:val="000000"/>
                <w:kern w:val="2"/>
                <w:sz w:val="24"/>
                <w:szCs w:val="24"/>
                <w:lang w:val="en-US" w:eastAsia="zh-CN" w:bidi="ar"/>
              </w:rPr>
              <w:t>郭 尚</w:t>
            </w:r>
          </w:p>
        </w:tc>
        <w:tc>
          <w:tcPr>
            <w:tcW w:w="993" w:type="dxa"/>
            <w:vAlign w:val="center"/>
          </w:tcPr>
          <w:p w14:paraId="66DABE0A">
            <w:pPr>
              <w:pStyle w:val="33"/>
              <w:keepNext w:val="0"/>
              <w:keepLines w:val="0"/>
              <w:suppressLineNumbers w:val="0"/>
              <w:spacing w:before="0" w:beforeAutospacing="0" w:after="0" w:afterAutospacing="0"/>
              <w:ind w:left="0" w:leftChars="0" w:right="0" w:rightChars="0"/>
              <w:jc w:val="center"/>
              <w:rPr>
                <w:rFonts w:hint="eastAsia" w:ascii="仿宋" w:hAnsi="仿宋" w:eastAsia="仿宋" w:cs="Courier New"/>
                <w:sz w:val="24"/>
              </w:rPr>
            </w:pPr>
            <w:r>
              <w:rPr>
                <w:rFonts w:hint="eastAsia" w:ascii="仿宋_GB2312" w:hAnsi="宋体" w:eastAsia="仿宋_GB2312" w:cs="仿宋_GB2312"/>
                <w:color w:val="000000"/>
                <w:kern w:val="2"/>
                <w:sz w:val="24"/>
                <w:szCs w:val="24"/>
                <w:lang w:val="en-US" w:eastAsia="zh-CN" w:bidi="ar"/>
              </w:rPr>
              <w:t>男</w:t>
            </w:r>
          </w:p>
        </w:tc>
        <w:tc>
          <w:tcPr>
            <w:tcW w:w="1701" w:type="dxa"/>
            <w:vAlign w:val="center"/>
          </w:tcPr>
          <w:p w14:paraId="17C5F1D1">
            <w:pPr>
              <w:keepNext w:val="0"/>
              <w:keepLines w:val="0"/>
              <w:suppressLineNumbers w:val="0"/>
              <w:spacing w:before="0" w:beforeLines="0" w:beforeAutospacing="0" w:after="0" w:afterLines="0" w:afterAutospacing="0"/>
              <w:ind w:left="0" w:leftChars="0" w:right="0" w:rightChars="0"/>
              <w:jc w:val="center"/>
              <w:rPr>
                <w:rFonts w:hint="eastAsia" w:ascii="仿宋" w:hAnsi="仿宋" w:eastAsia="仿宋" w:cs="Courier New"/>
                <w:sz w:val="24"/>
                <w:lang w:eastAsia="zh-CN"/>
              </w:rPr>
            </w:pPr>
            <w:r>
              <w:rPr>
                <w:rFonts w:hint="eastAsia" w:ascii="仿宋_GB2312" w:hAnsi="宋体" w:eastAsia="仿宋_GB2312" w:cs="仿宋_GB2312"/>
                <w:color w:val="000000"/>
                <w:kern w:val="2"/>
                <w:sz w:val="24"/>
                <w:szCs w:val="24"/>
                <w:lang w:val="en-US" w:eastAsia="zh-CN" w:bidi="ar"/>
              </w:rPr>
              <w:t>院长、书记/研究员</w:t>
            </w:r>
          </w:p>
        </w:tc>
        <w:tc>
          <w:tcPr>
            <w:tcW w:w="3472" w:type="dxa"/>
            <w:vAlign w:val="center"/>
          </w:tcPr>
          <w:p w14:paraId="001B7A6F">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Courier New"/>
                <w:sz w:val="24"/>
                <w:lang w:eastAsia="zh-CN"/>
              </w:rPr>
            </w:pPr>
            <w:r>
              <w:rPr>
                <w:rFonts w:hint="default" w:ascii="仿宋_GB2312" w:hAnsi="宋体" w:eastAsia="仿宋_GB2312" w:cs="仿宋_GB2312"/>
                <w:color w:val="000000"/>
                <w:kern w:val="2"/>
                <w:sz w:val="24"/>
                <w:szCs w:val="24"/>
                <w:lang w:val="en-US" w:eastAsia="zh-CN" w:bidi="ar"/>
              </w:rPr>
              <w:t>山西农业大学</w:t>
            </w:r>
          </w:p>
        </w:tc>
        <w:tc>
          <w:tcPr>
            <w:tcW w:w="1263" w:type="dxa"/>
            <w:vAlign w:val="center"/>
          </w:tcPr>
          <w:p w14:paraId="182A89AF">
            <w:pPr>
              <w:pStyle w:val="11"/>
              <w:keepNext w:val="0"/>
              <w:keepLines w:val="0"/>
              <w:widowControl w:val="0"/>
              <w:suppressLineNumbers w:val="0"/>
              <w:autoSpaceDE w:val="0"/>
              <w:autoSpaceDN w:val="0"/>
              <w:spacing w:before="0" w:beforeAutospacing="0" w:after="0" w:afterAutospacing="0"/>
              <w:ind w:left="0" w:leftChars="0" w:right="0" w:rightChars="0" w:firstLine="0" w:firstLineChars="0"/>
              <w:jc w:val="center"/>
              <w:rPr>
                <w:rFonts w:hint="eastAsia" w:ascii="仿宋" w:hAnsi="仿宋" w:eastAsia="仿宋" w:cs="Courier New"/>
                <w:sz w:val="24"/>
              </w:rPr>
            </w:pPr>
            <w:r>
              <w:rPr>
                <w:rFonts w:hint="default" w:ascii="仿宋_GB2312" w:hAnsi="宋体" w:eastAsia="仿宋_GB2312" w:cs="仿宋_GB2312"/>
                <w:color w:val="000000"/>
                <w:kern w:val="2"/>
                <w:sz w:val="24"/>
                <w:szCs w:val="24"/>
                <w:lang w:val="en-US" w:eastAsia="zh-CN" w:bidi="ar"/>
              </w:rPr>
              <w:t>标准编制</w:t>
            </w:r>
          </w:p>
        </w:tc>
      </w:tr>
      <w:tr w14:paraId="5A35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242" w:type="dxa"/>
            <w:vAlign w:val="center"/>
          </w:tcPr>
          <w:p w14:paraId="280FA2CE">
            <w:pPr>
              <w:pStyle w:val="33"/>
              <w:keepNext w:val="0"/>
              <w:keepLines w:val="0"/>
              <w:suppressLineNumbers w:val="0"/>
              <w:spacing w:before="0" w:beforeAutospacing="0" w:after="0" w:afterAutospacing="0"/>
              <w:ind w:left="0" w:leftChars="0" w:right="0" w:rightChars="0"/>
              <w:jc w:val="center"/>
              <w:rPr>
                <w:rFonts w:hint="eastAsia" w:ascii="仿宋_GB2312" w:hAnsi="宋体" w:eastAsia="仿宋_GB2312" w:cs="仿宋_GB2312"/>
                <w:color w:val="000000"/>
                <w:kern w:val="2"/>
                <w:sz w:val="24"/>
                <w:szCs w:val="24"/>
                <w:lang w:val="en-US" w:eastAsia="zh-CN" w:bidi="ar"/>
              </w:rPr>
            </w:pPr>
            <w:r>
              <w:rPr>
                <w:rFonts w:hint="eastAsia" w:ascii="仿宋_GB2312" w:hAnsi="宋体" w:eastAsia="仿宋_GB2312" w:cs="仿宋_GB2312"/>
                <w:color w:val="000000"/>
                <w:kern w:val="2"/>
                <w:sz w:val="24"/>
                <w:szCs w:val="24"/>
                <w:lang w:val="en-US" w:eastAsia="zh-CN" w:bidi="ar"/>
              </w:rPr>
              <w:t>郭伟伟</w:t>
            </w:r>
          </w:p>
        </w:tc>
        <w:tc>
          <w:tcPr>
            <w:tcW w:w="993" w:type="dxa"/>
            <w:vAlign w:val="center"/>
          </w:tcPr>
          <w:p w14:paraId="65F08DE1">
            <w:pPr>
              <w:pStyle w:val="33"/>
              <w:keepNext w:val="0"/>
              <w:keepLines w:val="0"/>
              <w:suppressLineNumbers w:val="0"/>
              <w:spacing w:before="0" w:beforeAutospacing="0" w:after="0" w:afterAutospacing="0"/>
              <w:ind w:left="0" w:leftChars="0" w:right="0" w:rightChars="0"/>
              <w:jc w:val="center"/>
              <w:rPr>
                <w:rFonts w:hint="eastAsia" w:ascii="仿宋" w:hAnsi="仿宋" w:eastAsia="仿宋" w:cs="Courier New"/>
                <w:sz w:val="24"/>
              </w:rPr>
            </w:pPr>
            <w:r>
              <w:rPr>
                <w:rFonts w:hint="eastAsia" w:ascii="仿宋_GB2312" w:hAnsi="宋体" w:eastAsia="仿宋_GB2312" w:cs="仿宋_GB2312"/>
                <w:color w:val="000000"/>
                <w:kern w:val="2"/>
                <w:sz w:val="24"/>
                <w:szCs w:val="24"/>
                <w:lang w:val="en-US" w:eastAsia="zh-CN" w:bidi="ar"/>
              </w:rPr>
              <w:t>男</w:t>
            </w:r>
          </w:p>
        </w:tc>
        <w:tc>
          <w:tcPr>
            <w:tcW w:w="1701" w:type="dxa"/>
            <w:vAlign w:val="center"/>
          </w:tcPr>
          <w:p w14:paraId="06AEF56B">
            <w:pPr>
              <w:pStyle w:val="33"/>
              <w:keepNext w:val="0"/>
              <w:keepLines w:val="0"/>
              <w:suppressLineNumbers w:val="0"/>
              <w:spacing w:before="0" w:beforeAutospacing="0" w:after="0" w:afterAutospacing="0"/>
              <w:ind w:left="0" w:leftChars="0" w:right="0" w:rightChars="0"/>
              <w:jc w:val="center"/>
              <w:rPr>
                <w:rFonts w:hint="eastAsia" w:ascii="仿宋" w:hAnsi="仿宋" w:eastAsia="仿宋" w:cs="Courier New"/>
                <w:sz w:val="24"/>
                <w:lang w:eastAsia="zh-CN"/>
              </w:rPr>
            </w:pPr>
            <w:r>
              <w:rPr>
                <w:rFonts w:hint="eastAsia" w:ascii="仿宋_GB2312" w:hAnsi="宋体" w:eastAsia="仿宋_GB2312" w:cs="仿宋_GB2312"/>
                <w:color w:val="000000"/>
                <w:kern w:val="2"/>
                <w:sz w:val="24"/>
                <w:szCs w:val="24"/>
                <w:lang w:val="en-US" w:eastAsia="zh-CN" w:bidi="ar"/>
              </w:rPr>
              <w:t>助理研究员</w:t>
            </w:r>
          </w:p>
        </w:tc>
        <w:tc>
          <w:tcPr>
            <w:tcW w:w="3472" w:type="dxa"/>
            <w:vAlign w:val="center"/>
          </w:tcPr>
          <w:p w14:paraId="3DEA7F0E">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Courier New"/>
                <w:sz w:val="24"/>
                <w:lang w:eastAsia="zh-CN"/>
              </w:rPr>
            </w:pPr>
            <w:r>
              <w:rPr>
                <w:rFonts w:hint="default" w:ascii="仿宋_GB2312" w:hAnsi="宋体" w:eastAsia="仿宋_GB2312" w:cs="仿宋_GB2312"/>
                <w:color w:val="000000"/>
                <w:kern w:val="2"/>
                <w:sz w:val="24"/>
                <w:szCs w:val="24"/>
                <w:lang w:val="en-US" w:eastAsia="zh-CN" w:bidi="ar"/>
              </w:rPr>
              <w:t>山西农业大学</w:t>
            </w:r>
          </w:p>
        </w:tc>
        <w:tc>
          <w:tcPr>
            <w:tcW w:w="1263" w:type="dxa"/>
            <w:vAlign w:val="center"/>
          </w:tcPr>
          <w:p w14:paraId="4753DE8A">
            <w:pPr>
              <w:pStyle w:val="11"/>
              <w:keepNext w:val="0"/>
              <w:keepLines w:val="0"/>
              <w:widowControl w:val="0"/>
              <w:suppressLineNumbers w:val="0"/>
              <w:autoSpaceDE w:val="0"/>
              <w:autoSpaceDN w:val="0"/>
              <w:spacing w:before="0" w:beforeAutospacing="0" w:after="0" w:afterAutospacing="0"/>
              <w:ind w:left="0" w:leftChars="0" w:right="0" w:rightChars="0" w:firstLine="0" w:firstLineChars="0"/>
              <w:jc w:val="center"/>
              <w:rPr>
                <w:rFonts w:hint="eastAsia" w:ascii="仿宋" w:hAnsi="仿宋" w:eastAsia="仿宋" w:cs="Courier New"/>
                <w:sz w:val="24"/>
              </w:rPr>
            </w:pPr>
            <w:r>
              <w:rPr>
                <w:rFonts w:hint="default" w:ascii="仿宋_GB2312" w:hAnsi="宋体" w:eastAsia="仿宋_GB2312" w:cs="仿宋_GB2312"/>
                <w:color w:val="000000"/>
                <w:kern w:val="2"/>
                <w:sz w:val="24"/>
                <w:szCs w:val="24"/>
                <w:lang w:val="en-US" w:eastAsia="zh-CN" w:bidi="ar"/>
              </w:rPr>
              <w:t>标准调研</w:t>
            </w:r>
          </w:p>
        </w:tc>
      </w:tr>
      <w:tr w14:paraId="2E99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242" w:type="dxa"/>
            <w:vAlign w:val="center"/>
          </w:tcPr>
          <w:p w14:paraId="5E07AF81">
            <w:pPr>
              <w:keepNext w:val="0"/>
              <w:keepLines w:val="0"/>
              <w:widowControl w:val="0"/>
              <w:suppressLineNumbers w:val="0"/>
              <w:spacing w:before="0" w:beforeAutospacing="0" w:after="0" w:afterAutospacing="0"/>
              <w:ind w:left="0" w:leftChars="0" w:right="0" w:rightChars="0"/>
              <w:jc w:val="center"/>
              <w:rPr>
                <w:rFonts w:hint="eastAsia" w:ascii="仿宋_GB2312" w:hAnsi="宋体" w:eastAsia="仿宋_GB2312" w:cs="仿宋_GB2312"/>
                <w:color w:val="000000"/>
                <w:kern w:val="2"/>
                <w:sz w:val="24"/>
                <w:szCs w:val="24"/>
                <w:lang w:val="en-US" w:eastAsia="zh-CN" w:bidi="ar"/>
              </w:rPr>
            </w:pPr>
            <w:r>
              <w:rPr>
                <w:rFonts w:hint="eastAsia" w:ascii="仿宋_GB2312" w:hAnsi="宋体" w:eastAsia="仿宋_GB2312" w:cs="仿宋_GB2312"/>
                <w:color w:val="000000"/>
                <w:kern w:val="2"/>
                <w:sz w:val="24"/>
                <w:szCs w:val="24"/>
                <w:lang w:val="en-US" w:eastAsia="zh-CN" w:bidi="ar"/>
              </w:rPr>
              <w:t>赵照林</w:t>
            </w:r>
          </w:p>
        </w:tc>
        <w:tc>
          <w:tcPr>
            <w:tcW w:w="993" w:type="dxa"/>
            <w:vAlign w:val="center"/>
          </w:tcPr>
          <w:p w14:paraId="70D6861E">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男</w:t>
            </w:r>
          </w:p>
        </w:tc>
        <w:tc>
          <w:tcPr>
            <w:tcW w:w="1701" w:type="dxa"/>
            <w:vAlign w:val="center"/>
          </w:tcPr>
          <w:p w14:paraId="10EA1ADB">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副研究员</w:t>
            </w:r>
          </w:p>
        </w:tc>
        <w:tc>
          <w:tcPr>
            <w:tcW w:w="3472" w:type="dxa"/>
            <w:vAlign w:val="center"/>
          </w:tcPr>
          <w:p w14:paraId="741D561A">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Courier New"/>
                <w:sz w:val="24"/>
                <w:lang w:eastAsia="zh-CN"/>
              </w:rPr>
            </w:pPr>
            <w:r>
              <w:rPr>
                <w:rFonts w:hint="default" w:ascii="仿宋_GB2312" w:hAnsi="宋体" w:eastAsia="仿宋_GB2312" w:cs="仿宋_GB2312"/>
                <w:color w:val="000000"/>
                <w:kern w:val="2"/>
                <w:sz w:val="24"/>
                <w:szCs w:val="24"/>
                <w:lang w:val="en-US" w:eastAsia="zh-CN" w:bidi="ar"/>
              </w:rPr>
              <w:t>山西农业大学</w:t>
            </w:r>
          </w:p>
        </w:tc>
        <w:tc>
          <w:tcPr>
            <w:tcW w:w="1263" w:type="dxa"/>
            <w:vAlign w:val="center"/>
          </w:tcPr>
          <w:p w14:paraId="5905169B">
            <w:pPr>
              <w:pStyle w:val="11"/>
              <w:keepNext w:val="0"/>
              <w:keepLines w:val="0"/>
              <w:widowControl w:val="0"/>
              <w:suppressLineNumbers w:val="0"/>
              <w:autoSpaceDE w:val="0"/>
              <w:autoSpaceDN w:val="0"/>
              <w:spacing w:before="0" w:beforeAutospacing="0" w:after="0" w:afterAutospacing="0"/>
              <w:ind w:left="0" w:leftChars="0" w:right="0" w:rightChars="0" w:firstLine="0" w:firstLineChars="0"/>
              <w:jc w:val="center"/>
              <w:rPr>
                <w:rFonts w:hint="eastAsia" w:ascii="仿宋" w:hAnsi="仿宋" w:eastAsia="仿宋" w:cs="Courier New"/>
                <w:sz w:val="24"/>
              </w:rPr>
            </w:pPr>
            <w:r>
              <w:rPr>
                <w:rFonts w:hint="default" w:ascii="仿宋_GB2312" w:hAnsi="宋体" w:eastAsia="仿宋_GB2312" w:cs="仿宋_GB2312"/>
                <w:color w:val="000000"/>
                <w:kern w:val="2"/>
                <w:sz w:val="24"/>
                <w:szCs w:val="24"/>
                <w:lang w:val="en-US" w:eastAsia="zh-CN" w:bidi="ar"/>
              </w:rPr>
              <w:t>标准调研</w:t>
            </w:r>
          </w:p>
        </w:tc>
      </w:tr>
      <w:tr w14:paraId="3C00D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1242" w:type="dxa"/>
            <w:vAlign w:val="center"/>
          </w:tcPr>
          <w:p w14:paraId="74451F7F">
            <w:pPr>
              <w:keepNext w:val="0"/>
              <w:keepLines w:val="0"/>
              <w:widowControl w:val="0"/>
              <w:suppressLineNumbers w:val="0"/>
              <w:spacing w:before="0" w:beforeAutospacing="0" w:after="0" w:afterAutospacing="0"/>
              <w:ind w:left="0" w:leftChars="0" w:right="0" w:rightChars="0"/>
              <w:jc w:val="center"/>
              <w:rPr>
                <w:rFonts w:hint="eastAsia" w:ascii="仿宋_GB2312" w:hAnsi="宋体" w:eastAsia="仿宋_GB2312" w:cs="仿宋_GB2312"/>
                <w:color w:val="000000"/>
                <w:kern w:val="2"/>
                <w:sz w:val="24"/>
                <w:szCs w:val="24"/>
                <w:lang w:val="en-US" w:eastAsia="zh-CN" w:bidi="ar"/>
              </w:rPr>
            </w:pPr>
            <w:r>
              <w:rPr>
                <w:rFonts w:hint="eastAsia" w:ascii="仿宋_GB2312" w:hAnsi="宋体" w:eastAsia="仿宋_GB2312" w:cs="仿宋_GB2312"/>
                <w:color w:val="000000"/>
                <w:kern w:val="2"/>
                <w:sz w:val="24"/>
                <w:szCs w:val="24"/>
                <w:lang w:val="en-US" w:eastAsia="zh-CN" w:bidi="ar"/>
              </w:rPr>
              <w:t>罗素兰</w:t>
            </w:r>
          </w:p>
        </w:tc>
        <w:tc>
          <w:tcPr>
            <w:tcW w:w="993" w:type="dxa"/>
            <w:vAlign w:val="center"/>
          </w:tcPr>
          <w:p w14:paraId="2CA327CB">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男</w:t>
            </w:r>
          </w:p>
        </w:tc>
        <w:tc>
          <w:tcPr>
            <w:tcW w:w="1701" w:type="dxa"/>
            <w:vAlign w:val="center"/>
          </w:tcPr>
          <w:p w14:paraId="7F0EA3E3">
            <w:pPr>
              <w:spacing w:line="400" w:lineRule="exact"/>
              <w:jc w:val="center"/>
              <w:rPr>
                <w:rFonts w:hint="eastAsia" w:ascii="仿宋" w:hAnsi="仿宋" w:eastAsia="仿宋" w:cs="Courier New"/>
                <w:sz w:val="24"/>
                <w:lang w:eastAsia="zh-CN"/>
              </w:rPr>
            </w:pPr>
            <w:r>
              <w:rPr>
                <w:rFonts w:hint="eastAsia" w:ascii="仿宋" w:hAnsi="仿宋" w:eastAsia="仿宋" w:cs="Courier New"/>
                <w:sz w:val="24"/>
                <w:lang w:eastAsia="zh-CN"/>
              </w:rPr>
              <w:t>助理研究员</w:t>
            </w:r>
          </w:p>
        </w:tc>
        <w:tc>
          <w:tcPr>
            <w:tcW w:w="3472" w:type="dxa"/>
            <w:vAlign w:val="center"/>
          </w:tcPr>
          <w:p w14:paraId="08D06CB5">
            <w:pPr>
              <w:keepNext w:val="0"/>
              <w:keepLines w:val="0"/>
              <w:widowControl w:val="0"/>
              <w:suppressLineNumbers w:val="0"/>
              <w:spacing w:before="0" w:beforeAutospacing="0" w:after="0" w:afterAutospacing="0"/>
              <w:ind w:left="0" w:leftChars="0" w:right="0" w:rightChars="0"/>
              <w:jc w:val="center"/>
              <w:rPr>
                <w:rFonts w:hint="eastAsia" w:ascii="仿宋" w:hAnsi="仿宋" w:eastAsia="仿宋" w:cs="Courier New"/>
                <w:sz w:val="24"/>
                <w:lang w:eastAsia="zh-CN"/>
              </w:rPr>
            </w:pPr>
            <w:r>
              <w:rPr>
                <w:rFonts w:hint="default" w:ascii="仿宋_GB2312" w:hAnsi="宋体" w:eastAsia="仿宋_GB2312" w:cs="仿宋_GB2312"/>
                <w:color w:val="000000"/>
                <w:kern w:val="2"/>
                <w:sz w:val="24"/>
                <w:szCs w:val="24"/>
                <w:lang w:val="en-US" w:eastAsia="zh-CN" w:bidi="ar"/>
              </w:rPr>
              <w:t>山西农业大学</w:t>
            </w:r>
          </w:p>
        </w:tc>
        <w:tc>
          <w:tcPr>
            <w:tcW w:w="1263" w:type="dxa"/>
            <w:vAlign w:val="center"/>
          </w:tcPr>
          <w:p w14:paraId="6A468E5E">
            <w:pPr>
              <w:pStyle w:val="11"/>
              <w:keepNext w:val="0"/>
              <w:keepLines w:val="0"/>
              <w:widowControl w:val="0"/>
              <w:suppressLineNumbers w:val="0"/>
              <w:autoSpaceDE w:val="0"/>
              <w:autoSpaceDN w:val="0"/>
              <w:spacing w:before="0" w:beforeAutospacing="0" w:after="0" w:afterAutospacing="0"/>
              <w:ind w:left="0" w:leftChars="0" w:right="0" w:rightChars="0" w:firstLine="0" w:firstLineChars="0"/>
              <w:jc w:val="center"/>
              <w:rPr>
                <w:rFonts w:hint="eastAsia" w:ascii="仿宋" w:hAnsi="仿宋" w:eastAsia="仿宋" w:cs="Courier New"/>
                <w:sz w:val="24"/>
              </w:rPr>
            </w:pPr>
            <w:r>
              <w:rPr>
                <w:rFonts w:hint="default" w:ascii="仿宋_GB2312" w:hAnsi="宋体" w:eastAsia="仿宋_GB2312" w:cs="仿宋_GB2312"/>
                <w:color w:val="000000"/>
                <w:kern w:val="2"/>
                <w:sz w:val="24"/>
                <w:szCs w:val="24"/>
                <w:lang w:val="en-US" w:eastAsia="zh-CN" w:bidi="ar"/>
              </w:rPr>
              <w:t>标准调研</w:t>
            </w:r>
          </w:p>
        </w:tc>
      </w:tr>
    </w:tbl>
    <w:p w14:paraId="33552396">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2CCEB0DD">
      <w:pPr>
        <w:spacing w:line="360" w:lineRule="auto"/>
        <w:ind w:firstLine="480" w:firstLineChars="200"/>
        <w:rPr>
          <w:rFonts w:hint="eastAsia" w:ascii="仿宋_GB2312" w:hAnsi="仿宋" w:eastAsia="仿宋_GB2312" w:cs="Times New Roman"/>
          <w:sz w:val="24"/>
          <w:szCs w:val="24"/>
          <w:lang w:val="en-US" w:eastAsia="zh-CN"/>
        </w:rPr>
      </w:pPr>
      <w:r>
        <w:rPr>
          <w:rFonts w:hint="eastAsia" w:ascii="仿宋_GB2312" w:hAnsi="仿宋" w:eastAsia="仿宋_GB2312" w:cs="Times New Roman"/>
          <w:sz w:val="24"/>
          <w:szCs w:val="24"/>
          <w:lang w:val="en-US" w:eastAsia="zh-CN"/>
        </w:rPr>
        <w:t xml:space="preserve">香菇是我国主要出口食用菌品种之一。长期以来被公认为“绿色保健食品”。山西省香菇种植基础较好，种质资源丰富，可供生产的农业生态类型多样，生产原料和劳动力充足。近几年来，尤其是我省北部，香菇种植快速发展，产业技术创新步伐加快。为了进一步加快香菇产业发展，促进农业结构调整、农业增效、农民增收、农村劳动力就业，以及在社会主义新农村建设中进一步发挥积极作用，必须把香菇作为食用菌产业中一个重中之重来抓。  </w:t>
      </w:r>
    </w:p>
    <w:p w14:paraId="1561E491">
      <w:pPr>
        <w:spacing w:line="360" w:lineRule="auto"/>
        <w:ind w:firstLine="480" w:firstLineChars="200"/>
        <w:rPr>
          <w:rFonts w:hint="eastAsia" w:ascii="仿宋_GB2312" w:hAnsi="仿宋" w:eastAsia="仿宋_GB2312" w:cs="Times New Roman"/>
          <w:sz w:val="24"/>
          <w:szCs w:val="24"/>
          <w:lang w:val="en-US" w:eastAsia="zh-CN"/>
        </w:rPr>
      </w:pPr>
      <w:r>
        <w:rPr>
          <w:rFonts w:hint="eastAsia" w:ascii="仿宋_GB2312" w:hAnsi="仿宋" w:eastAsia="仿宋_GB2312" w:cs="Times New Roman"/>
          <w:sz w:val="24"/>
          <w:szCs w:val="24"/>
          <w:lang w:val="en-US" w:eastAsia="zh-CN"/>
        </w:rPr>
        <w:t>原标准自2015年发布已有10年，所涉及的部分规范性引用文件已经修订或废止；原标准发布后的10年内，香菇产业得到很大发展，部分相关生产技术参数有了变化；近些年，标准化进程加快，原标准的部分规定已出现偏差，一些内容已经不符合现行法律法规；国际、国内标准关于如何进行病虫害防控已经有了新的规定，原标准病虫害防控部分内容与现行的标准不相符。</w:t>
      </w:r>
    </w:p>
    <w:p w14:paraId="1D56CC05">
      <w:pPr>
        <w:spacing w:line="360" w:lineRule="auto"/>
        <w:ind w:firstLine="480" w:firstLineChars="200"/>
        <w:rPr>
          <w:rFonts w:hint="default" w:ascii="仿宋_GB2312" w:hAnsi="仿宋" w:eastAsia="仿宋_GB2312" w:cs="Times New Roman"/>
          <w:sz w:val="24"/>
          <w:szCs w:val="24"/>
          <w:lang w:val="en-US" w:eastAsia="zh-CN"/>
        </w:rPr>
      </w:pPr>
      <w:r>
        <w:rPr>
          <w:rFonts w:hint="eastAsia" w:ascii="仿宋_GB2312" w:hAnsi="仿宋" w:eastAsia="仿宋_GB2312" w:cs="Times New Roman"/>
          <w:sz w:val="24"/>
          <w:szCs w:val="24"/>
          <w:lang w:val="en-US" w:eastAsia="zh-CN"/>
        </w:rPr>
        <w:t>但是，原标准的主体内容仍符合现在高寒区日光温室香菇代料生产的实际。目前，高寒区日光温室香菇代料生产仍存在一定规模，大量散户、小种植户是这种生产模式的主要形式；由于香菇产业投资小、见效快、利润高，部分菜农菜棚改菇棚；高寒区由于气候恶劣、地势较高、人口较少等多个原因，存在大量闲置棚，将闲置大棚进行改造，进行香菇生产，也是一种好的思路。</w:t>
      </w:r>
    </w:p>
    <w:p w14:paraId="7200FA0C">
      <w:pPr>
        <w:spacing w:line="360" w:lineRule="auto"/>
        <w:ind w:firstLine="480" w:firstLineChars="200"/>
        <w:rPr>
          <w:rFonts w:hint="eastAsia" w:ascii="仿宋_GB2312" w:hAnsi="仿宋" w:eastAsia="仿宋_GB2312" w:cs="Times New Roman"/>
          <w:sz w:val="24"/>
          <w:szCs w:val="24"/>
          <w:lang w:val="en-US" w:eastAsia="zh-CN"/>
        </w:rPr>
      </w:pPr>
      <w:r>
        <w:rPr>
          <w:rFonts w:hint="eastAsia" w:ascii="仿宋_GB2312" w:hAnsi="仿宋" w:eastAsia="仿宋_GB2312" w:cs="Times New Roman"/>
          <w:sz w:val="24"/>
          <w:szCs w:val="24"/>
          <w:lang w:val="en-US" w:eastAsia="zh-CN"/>
        </w:rPr>
        <w:t>综合以上考虑，修订高寒区日光温室香菇代料生产技术规程，用以指导高寒区菇农生产，继续规范行业标准，是满足人民群众对优质安全香菇产品的需要，有利于发挥我省气候高寒冷凉的优势，对提高我省菇类等农产品市场竞争力，确保我省香菇生产的可持续发展意义重大。</w:t>
      </w:r>
    </w:p>
    <w:p w14:paraId="2A63D3A1">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14:paraId="6BA4113E">
      <w:pPr>
        <w:spacing w:line="400" w:lineRule="exact"/>
        <w:ind w:firstLine="480" w:firstLineChars="200"/>
        <w:rPr>
          <w:rFonts w:eastAsia="仿宋_GB2312"/>
          <w:bCs/>
          <w:sz w:val="24"/>
        </w:rPr>
      </w:pPr>
      <w:r>
        <w:rPr>
          <w:rFonts w:hint="eastAsia" w:eastAsia="仿宋_GB2312"/>
          <w:bCs/>
          <w:sz w:val="24"/>
        </w:rPr>
        <w:t>1、成立标准修订工作组</w:t>
      </w:r>
    </w:p>
    <w:p w14:paraId="254686CE">
      <w:pPr>
        <w:spacing w:line="400" w:lineRule="exact"/>
        <w:ind w:firstLine="480" w:firstLineChars="200"/>
        <w:rPr>
          <w:rFonts w:eastAsia="仿宋_GB2312"/>
          <w:bCs/>
          <w:sz w:val="24"/>
        </w:rPr>
      </w:pPr>
      <w:r>
        <w:rPr>
          <w:rFonts w:hint="eastAsia" w:ascii="仿宋_GB2312" w:hAnsi="宋体" w:eastAsia="仿宋_GB2312"/>
          <w:sz w:val="24"/>
        </w:rPr>
        <w:t>《高寒区日光温室香菇</w:t>
      </w:r>
      <w:r>
        <w:rPr>
          <w:rFonts w:hint="eastAsia" w:ascii="仿宋_GB2312" w:hAnsi="宋体" w:eastAsia="仿宋_GB2312"/>
          <w:sz w:val="24"/>
          <w:lang w:eastAsia="zh-CN"/>
        </w:rPr>
        <w:t>代料</w:t>
      </w:r>
      <w:r>
        <w:rPr>
          <w:rFonts w:hint="eastAsia" w:ascii="仿宋_GB2312" w:hAnsi="宋体" w:eastAsia="仿宋_GB2312"/>
          <w:sz w:val="24"/>
        </w:rPr>
        <w:t>生产</w:t>
      </w:r>
      <w:r>
        <w:rPr>
          <w:rFonts w:hint="eastAsia" w:ascii="仿宋_GB2312" w:hAnsi="宋体" w:eastAsia="仿宋_GB2312"/>
          <w:sz w:val="24"/>
          <w:lang w:eastAsia="zh-CN"/>
        </w:rPr>
        <w:t>技术规程</w:t>
      </w:r>
      <w:r>
        <w:rPr>
          <w:rFonts w:hint="eastAsia" w:ascii="仿宋_GB2312" w:hAnsi="宋体" w:eastAsia="仿宋_GB2312"/>
          <w:sz w:val="24"/>
        </w:rPr>
        <w:t>》</w:t>
      </w:r>
      <w:r>
        <w:rPr>
          <w:rFonts w:hint="eastAsia" w:eastAsia="仿宋_GB2312"/>
          <w:bCs/>
          <w:sz w:val="24"/>
        </w:rPr>
        <w:t>地方标准修订任务下达后，山西农业大学立即成立了标准修订小组，并确立了起草小组人员，制定了标准修订计划，对查阅文献、重复有关实验以及资料整理、调查生产现状与实践验证工作进行分工。</w:t>
      </w:r>
    </w:p>
    <w:p w14:paraId="5E573624">
      <w:pPr>
        <w:spacing w:line="400" w:lineRule="exact"/>
        <w:ind w:firstLine="480" w:firstLineChars="200"/>
        <w:rPr>
          <w:rFonts w:eastAsia="仿宋_GB2312"/>
          <w:bCs/>
          <w:sz w:val="24"/>
        </w:rPr>
      </w:pPr>
      <w:r>
        <w:rPr>
          <w:rFonts w:hint="eastAsia" w:eastAsia="仿宋_GB2312"/>
          <w:bCs/>
          <w:sz w:val="24"/>
        </w:rPr>
        <w:t>2、调研考察</w:t>
      </w:r>
    </w:p>
    <w:p w14:paraId="2649F062">
      <w:pPr>
        <w:spacing w:line="400" w:lineRule="exact"/>
        <w:ind w:firstLine="480" w:firstLineChars="200"/>
        <w:rPr>
          <w:rFonts w:eastAsia="仿宋_GB2312"/>
          <w:bCs/>
          <w:sz w:val="24"/>
        </w:rPr>
      </w:pPr>
      <w:r>
        <w:rPr>
          <w:rFonts w:hint="eastAsia" w:eastAsia="仿宋_GB2312"/>
          <w:bCs/>
          <w:sz w:val="24"/>
        </w:rPr>
        <w:t>研究、了解国家、行业和各省相关地方标准制定情况，对我省高寒地区香菇生产技术情况进行了充分调研，全面了解和掌握情况，确定该标准起草的可行性。</w:t>
      </w:r>
    </w:p>
    <w:p w14:paraId="77C7E824">
      <w:pPr>
        <w:spacing w:line="400" w:lineRule="exact"/>
        <w:ind w:firstLine="480" w:firstLineChars="200"/>
        <w:rPr>
          <w:rFonts w:eastAsia="仿宋_GB2312"/>
          <w:bCs/>
          <w:sz w:val="24"/>
        </w:rPr>
      </w:pPr>
      <w:r>
        <w:rPr>
          <w:rFonts w:hint="eastAsia" w:eastAsia="仿宋_GB2312"/>
          <w:bCs/>
          <w:sz w:val="24"/>
        </w:rPr>
        <w:t>3、收集资料</w:t>
      </w:r>
    </w:p>
    <w:p w14:paraId="16A4F139">
      <w:pPr>
        <w:spacing w:line="400" w:lineRule="exact"/>
        <w:ind w:firstLine="480" w:firstLineChars="200"/>
        <w:rPr>
          <w:rFonts w:hint="eastAsia" w:eastAsia="仿宋_GB2312"/>
          <w:bCs/>
          <w:sz w:val="24"/>
        </w:rPr>
      </w:pPr>
      <w:r>
        <w:rPr>
          <w:rFonts w:hint="eastAsia" w:eastAsia="仿宋_GB2312"/>
          <w:bCs/>
          <w:sz w:val="24"/>
        </w:rPr>
        <w:t>20</w:t>
      </w:r>
      <w:r>
        <w:rPr>
          <w:rFonts w:hint="eastAsia" w:eastAsia="仿宋_GB2312"/>
          <w:bCs/>
          <w:sz w:val="24"/>
          <w:lang w:val="en-US" w:eastAsia="zh-CN"/>
        </w:rPr>
        <w:t>22</w:t>
      </w:r>
      <w:r>
        <w:rPr>
          <w:rFonts w:hint="eastAsia" w:eastAsia="仿宋_GB2312"/>
          <w:bCs/>
          <w:sz w:val="24"/>
        </w:rPr>
        <w:t>年年初组织编写人员认真学习了GB/T 1.1-20</w:t>
      </w:r>
      <w:r>
        <w:rPr>
          <w:rFonts w:hint="eastAsia" w:eastAsia="仿宋_GB2312"/>
          <w:bCs/>
          <w:sz w:val="24"/>
          <w:lang w:val="en-US" w:eastAsia="zh-CN"/>
        </w:rPr>
        <w:t>20</w:t>
      </w:r>
      <w:r>
        <w:rPr>
          <w:rFonts w:hint="eastAsia" w:eastAsia="仿宋_GB2312"/>
          <w:bCs/>
          <w:sz w:val="24"/>
          <w:lang w:eastAsia="zh-CN"/>
        </w:rPr>
        <w:t>和</w:t>
      </w:r>
      <w:r>
        <w:rPr>
          <w:rFonts w:hint="eastAsia" w:eastAsia="仿宋_GB2312"/>
          <w:bCs/>
          <w:sz w:val="24"/>
        </w:rPr>
        <w:t>GB/T 1.2-20</w:t>
      </w:r>
      <w:r>
        <w:rPr>
          <w:rFonts w:hint="eastAsia" w:eastAsia="仿宋_GB2312"/>
          <w:bCs/>
          <w:sz w:val="24"/>
          <w:lang w:val="en-US" w:eastAsia="zh-CN"/>
        </w:rPr>
        <w:t>20</w:t>
      </w:r>
      <w:r>
        <w:rPr>
          <w:rFonts w:hint="eastAsia" w:eastAsia="仿宋_GB2312"/>
          <w:bCs/>
          <w:sz w:val="24"/>
        </w:rPr>
        <w:t>中有关标准编写的要求及制定标准相关的法律法规。编制起草小组查阅了国内外对香菇生物学特性的研究以及生产技术的有关文献，整理出了所需的资料，为</w:t>
      </w:r>
      <w:r>
        <w:rPr>
          <w:rFonts w:hint="eastAsia" w:eastAsia="仿宋_GB2312"/>
          <w:bCs/>
          <w:sz w:val="24"/>
          <w:lang w:eastAsia="zh-CN"/>
        </w:rPr>
        <w:t>修订</w:t>
      </w:r>
      <w:r>
        <w:rPr>
          <w:rFonts w:hint="eastAsia" w:eastAsia="仿宋_GB2312"/>
          <w:bCs/>
          <w:sz w:val="24"/>
        </w:rPr>
        <w:t>标准作了文献和科学数据等方面的准备。</w:t>
      </w:r>
    </w:p>
    <w:p w14:paraId="1948474C">
      <w:pPr>
        <w:spacing w:line="400" w:lineRule="exact"/>
        <w:ind w:firstLine="480" w:firstLineChars="200"/>
        <w:rPr>
          <w:rFonts w:eastAsia="仿宋_GB2312"/>
          <w:bCs/>
          <w:sz w:val="24"/>
        </w:rPr>
      </w:pPr>
      <w:r>
        <w:rPr>
          <w:rFonts w:hint="eastAsia" w:eastAsia="仿宋_GB2312"/>
          <w:bCs/>
          <w:sz w:val="24"/>
        </w:rPr>
        <w:t>4、修订文本</w:t>
      </w:r>
    </w:p>
    <w:p w14:paraId="75919F8A">
      <w:pPr>
        <w:spacing w:line="400" w:lineRule="exact"/>
        <w:ind w:firstLine="480" w:firstLineChars="200"/>
        <w:rPr>
          <w:rFonts w:hint="eastAsia" w:eastAsia="仿宋_GB2312"/>
          <w:bCs/>
          <w:sz w:val="24"/>
        </w:rPr>
      </w:pPr>
      <w:r>
        <w:rPr>
          <w:rFonts w:hint="eastAsia" w:eastAsia="仿宋_GB2312"/>
          <w:bCs/>
          <w:sz w:val="24"/>
        </w:rPr>
        <w:t>在参照相关规程、法律法规及实地调查的基础上，对高寒区日光温室香菇</w:t>
      </w:r>
      <w:r>
        <w:rPr>
          <w:rFonts w:hint="eastAsia" w:eastAsia="仿宋_GB2312"/>
          <w:bCs/>
          <w:sz w:val="24"/>
          <w:lang w:eastAsia="zh-CN"/>
        </w:rPr>
        <w:t>代料</w:t>
      </w:r>
      <w:r>
        <w:rPr>
          <w:rFonts w:hint="eastAsia" w:eastAsia="仿宋_GB2312"/>
          <w:bCs/>
          <w:sz w:val="24"/>
        </w:rPr>
        <w:t>生产技术要点、档案管理等内容进行了系统研究，形成了《高寒区日光温室香菇</w:t>
      </w:r>
      <w:r>
        <w:rPr>
          <w:rFonts w:hint="eastAsia" w:eastAsia="仿宋_GB2312"/>
          <w:bCs/>
          <w:sz w:val="24"/>
          <w:lang w:eastAsia="zh-CN"/>
        </w:rPr>
        <w:t>代料</w:t>
      </w:r>
      <w:r>
        <w:rPr>
          <w:rFonts w:hint="eastAsia" w:eastAsia="仿宋_GB2312"/>
          <w:bCs/>
          <w:sz w:val="24"/>
        </w:rPr>
        <w:t>生产技术技术规程》草案。向</w:t>
      </w:r>
      <w:r>
        <w:rPr>
          <w:rFonts w:hint="default" w:eastAsia="仿宋_GB2312"/>
          <w:bCs/>
          <w:sz w:val="24"/>
        </w:rPr>
        <w:t>山西农业大学高寒作物研究所</w:t>
      </w:r>
      <w:r>
        <w:rPr>
          <w:rFonts w:hint="eastAsia" w:eastAsia="仿宋_GB2312"/>
          <w:bCs/>
          <w:sz w:val="24"/>
        </w:rPr>
        <w:t>等</w:t>
      </w:r>
      <w:r>
        <w:rPr>
          <w:rFonts w:hint="eastAsia" w:eastAsia="仿宋_GB2312"/>
          <w:bCs/>
          <w:sz w:val="24"/>
          <w:lang w:val="en-US" w:eastAsia="zh-CN"/>
        </w:rPr>
        <w:t>6</w:t>
      </w:r>
      <w:r>
        <w:rPr>
          <w:rFonts w:hint="eastAsia" w:eastAsia="仿宋_GB2312"/>
          <w:bCs/>
          <w:sz w:val="24"/>
        </w:rPr>
        <w:t>家单位发送征求意见，针对标准的部分内容提出意见并形成意见稿。</w:t>
      </w:r>
    </w:p>
    <w:p w14:paraId="3AB7EDE0">
      <w:pPr>
        <w:spacing w:line="400" w:lineRule="exact"/>
        <w:ind w:firstLine="480" w:firstLineChars="200"/>
        <w:rPr>
          <w:rFonts w:eastAsia="仿宋_GB2312"/>
          <w:bCs/>
          <w:sz w:val="24"/>
        </w:rPr>
      </w:pPr>
      <w:r>
        <w:rPr>
          <w:rFonts w:hint="eastAsia" w:eastAsia="仿宋_GB2312"/>
          <w:bCs/>
          <w:sz w:val="24"/>
        </w:rPr>
        <w:t>5、技术评审</w:t>
      </w:r>
    </w:p>
    <w:p w14:paraId="1BE834C7">
      <w:p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2024年10月19日，在山西农业大学龙城校区主楼908会议室进行了技术评审。</w:t>
      </w:r>
    </w:p>
    <w:p w14:paraId="5C2BA693">
      <w:pPr>
        <w:numPr>
          <w:ilvl w:val="0"/>
          <w:numId w:val="3"/>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征求意见</w:t>
      </w:r>
    </w:p>
    <w:p w14:paraId="02CB9B96">
      <w:pPr>
        <w:numPr>
          <w:ilvl w:val="0"/>
          <w:numId w:val="0"/>
        </w:numPr>
        <w:spacing w:line="400" w:lineRule="exact"/>
        <w:rPr>
          <w:rFonts w:hint="default" w:eastAsia="仿宋_GB2312"/>
          <w:bCs/>
          <w:sz w:val="24"/>
          <w:lang w:val="en-US" w:eastAsia="zh-CN"/>
        </w:rPr>
      </w:pPr>
      <w:r>
        <w:rPr>
          <w:rFonts w:hint="eastAsia" w:eastAsia="仿宋_GB2312"/>
          <w:bCs/>
          <w:sz w:val="24"/>
          <w:lang w:val="en-US" w:eastAsia="zh-CN"/>
        </w:rPr>
        <w:t xml:space="preserve">    （报省市场监督管理局挂网向社会公开征求意见1个月）</w:t>
      </w:r>
    </w:p>
    <w:p w14:paraId="594419D7">
      <w:pPr>
        <w:numPr>
          <w:ilvl w:val="0"/>
          <w:numId w:val="3"/>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完善文本</w:t>
      </w:r>
    </w:p>
    <w:p w14:paraId="4F368A3E">
      <w:pPr>
        <w:numPr>
          <w:ilvl w:val="0"/>
          <w:numId w:val="0"/>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（进一步修改完善后形成标准送审稿，标委会表决......）</w:t>
      </w:r>
    </w:p>
    <w:p w14:paraId="08607A80">
      <w:pPr>
        <w:numPr>
          <w:ilvl w:val="0"/>
          <w:numId w:val="3"/>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形成报批稿、提交报批材料......</w:t>
      </w:r>
    </w:p>
    <w:p w14:paraId="72381BBB">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w:t>
      </w:r>
    </w:p>
    <w:p w14:paraId="15B139EC">
      <w:pPr>
        <w:numPr>
          <w:ilvl w:val="0"/>
          <w:numId w:val="0"/>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w:t>
      </w:r>
    </w:p>
    <w:p w14:paraId="2338F8FD">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lang w:eastAsia="zh-CN"/>
        </w:rPr>
        <w:t>制修</w:t>
      </w:r>
      <w:r>
        <w:rPr>
          <w:rFonts w:ascii="黑体" w:eastAsia="黑体"/>
          <w:sz w:val="24"/>
        </w:rPr>
        <w:t>订标准的原则和依据，与现行法律、法规、标准的关系</w:t>
      </w:r>
    </w:p>
    <w:p w14:paraId="3080F177">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（一）本标准严格遵循国家标准、行业标准在食用菌生产方面的相关规定、也借鉴了其它省市的一些经验，与现行的国家标准、行业标准及其它省市的地方标准相比较，突出了以下几个方面的内容。</w:t>
      </w:r>
    </w:p>
    <w:p w14:paraId="3CA1B3C6">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1.以规范香菇各个生产管理环节，实现香菇标准化生产为重点，结合山西省高寒地区气候特点，突出标准的区域性、针对性及可操作性。</w:t>
      </w:r>
    </w:p>
    <w:p w14:paraId="2E48E45D">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2.总结多年来香菇病虫害综合治理技术的研究成果，规范农药使用，实现我省香菇生产无公害化，提升产品市场竞争力。</w:t>
      </w:r>
    </w:p>
    <w:p w14:paraId="06AA3C6F">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3.创新改进高寒地区日光温室技术，解决日光温室闲置、产出不高等问题，有效提高设施农业生产效率。</w:t>
      </w:r>
    </w:p>
    <w:p w14:paraId="79844C43">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4.经多年多点试验，将香菇生产“刺孔通气技术”、“转色期管理技术”等关键技术量化，使其更具体，参照性更强。</w:t>
      </w:r>
    </w:p>
    <w:p w14:paraId="28217781">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5.考虑到技术指标的重复性，在我省的太原、晋中、朔州、临汾等不同地区试验，结论详实可靠，针对性、参考性强。</w:t>
      </w:r>
    </w:p>
    <w:p w14:paraId="14FF201A">
      <w:pPr>
        <w:spacing w:line="400" w:lineRule="exact"/>
        <w:ind w:firstLine="480" w:firstLineChars="200"/>
        <w:rPr>
          <w:rFonts w:hint="eastAsia" w:eastAsia="仿宋_GB2312"/>
          <w:bCs/>
          <w:sz w:val="24"/>
          <w:lang w:eastAsia="zh-CN"/>
        </w:rPr>
      </w:pPr>
      <w:r>
        <w:rPr>
          <w:rFonts w:hint="eastAsia" w:eastAsia="仿宋_GB2312"/>
          <w:bCs/>
          <w:sz w:val="24"/>
          <w:lang w:val="en-US" w:eastAsia="zh-CN"/>
        </w:rPr>
        <w:t>(二）</w:t>
      </w:r>
      <w:r>
        <w:rPr>
          <w:rFonts w:hint="eastAsia" w:eastAsia="仿宋_GB2312"/>
          <w:bCs/>
          <w:sz w:val="24"/>
        </w:rPr>
        <w:t>与现行法律、法规及标准</w:t>
      </w:r>
      <w:r>
        <w:rPr>
          <w:rFonts w:hint="eastAsia" w:eastAsia="仿宋_GB2312"/>
          <w:bCs/>
          <w:sz w:val="24"/>
          <w:lang w:eastAsia="zh-CN"/>
        </w:rPr>
        <w:t>协调一致、</w:t>
      </w:r>
      <w:r>
        <w:rPr>
          <w:rFonts w:hint="eastAsia" w:eastAsia="仿宋_GB2312"/>
          <w:bCs/>
          <w:sz w:val="24"/>
        </w:rPr>
        <w:t>没有冲突</w:t>
      </w:r>
      <w:r>
        <w:rPr>
          <w:rFonts w:hint="eastAsia" w:eastAsia="仿宋_GB2312"/>
          <w:bCs/>
          <w:sz w:val="24"/>
          <w:lang w:eastAsia="zh-CN"/>
        </w:rPr>
        <w:t>。</w:t>
      </w:r>
    </w:p>
    <w:p w14:paraId="38F551A6">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 xml:space="preserve">1.遵循《中华人民共和国标准化法》、《中华人民共和国食品安全法》、《农产品质量安全法》等法律和国家技术监督局《农业标准化管理办法》、《无公害农产品管理办法》等部门规章。 </w:t>
      </w:r>
    </w:p>
    <w:p w14:paraId="69C67F72">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 xml:space="preserve">2.本标准中计量单位采用法定计量单位。 </w:t>
      </w:r>
    </w:p>
    <w:p w14:paraId="169A0A16">
      <w:p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3.本标准的格式编制和表达方法按国家标准的要求制订。</w:t>
      </w:r>
    </w:p>
    <w:p w14:paraId="6E576FF2">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46421F80">
      <w:pPr>
        <w:spacing w:line="400" w:lineRule="exact"/>
        <w:ind w:firstLine="480" w:firstLineChars="200"/>
        <w:rPr>
          <w:rFonts w:hint="eastAsia" w:eastAsia="仿宋_GB2312"/>
          <w:bCs/>
          <w:sz w:val="24"/>
          <w:lang w:eastAsia="zh-CN"/>
        </w:rPr>
      </w:pPr>
      <w:r>
        <w:rPr>
          <w:rFonts w:hint="eastAsia" w:eastAsia="仿宋_GB2312"/>
          <w:bCs/>
          <w:sz w:val="24"/>
          <w:lang w:eastAsia="zh-CN"/>
        </w:rPr>
        <w:t>标准起草组以“合法性、安全性、适应性、协调性和先进性”为修订原则，以文本结构更加合理、表述更加准确、技术指标更加科学为修订目标，从</w:t>
      </w:r>
      <w:r>
        <w:rPr>
          <w:rFonts w:hint="eastAsia" w:eastAsia="仿宋_GB2312"/>
          <w:bCs/>
          <w:sz w:val="24"/>
          <w:lang w:val="en-US" w:eastAsia="zh-CN"/>
        </w:rPr>
        <w:t>xx</w:t>
      </w:r>
      <w:r>
        <w:rPr>
          <w:rFonts w:hint="eastAsia" w:eastAsia="仿宋_GB2312"/>
          <w:bCs/>
          <w:sz w:val="24"/>
          <w:lang w:eastAsia="zh-CN"/>
        </w:rPr>
        <w:t>个方面对文本进行了修订，其中：</w:t>
      </w:r>
    </w:p>
    <w:p w14:paraId="2E1FF8C9">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w:t>
      </w:r>
      <w:r>
        <w:rPr>
          <w:rFonts w:hint="eastAsia" w:eastAsia="仿宋_GB2312"/>
          <w:bCs/>
          <w:sz w:val="24"/>
        </w:rPr>
        <w:t>涉及</w:t>
      </w:r>
      <w:r>
        <w:rPr>
          <w:rFonts w:hint="eastAsia" w:eastAsia="仿宋_GB2312"/>
          <w:b/>
          <w:bCs w:val="0"/>
          <w:sz w:val="24"/>
          <w:u w:val="single"/>
          <w:lang w:eastAsia="zh-CN"/>
        </w:rPr>
        <w:t>结构性调整</w:t>
      </w:r>
      <w:r>
        <w:rPr>
          <w:rFonts w:hint="eastAsia" w:eastAsia="仿宋_GB2312"/>
          <w:bCs/>
          <w:sz w:val="24"/>
          <w:lang w:eastAsia="zh-CN"/>
        </w:rPr>
        <w:t>的主要有</w:t>
      </w:r>
      <w:r>
        <w:rPr>
          <w:rFonts w:hint="eastAsia" w:eastAsia="仿宋_GB2312"/>
          <w:bCs/>
          <w:sz w:val="24"/>
          <w:lang w:val="en-US" w:eastAsia="zh-CN"/>
        </w:rPr>
        <w:t>3项：</w:t>
      </w:r>
    </w:p>
    <w:p w14:paraId="7CC2C15C">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（1）删除术语和定义中的日光温室、山墙、目（见3）。修订原因：被删除定义已经被人所熟知。</w:t>
      </w:r>
    </w:p>
    <w:p w14:paraId="39D0A1ED">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（2）删除配套生产设施（见5），并将原5.5变为4.5。修订原因：配套生产设施中除增补水设施外，其余内容都不属于本标准规定范围。</w:t>
      </w:r>
    </w:p>
    <w:p w14:paraId="794776E7">
      <w:pPr>
        <w:numPr>
          <w:ilvl w:val="0"/>
          <w:numId w:val="0"/>
        </w:numPr>
        <w:spacing w:line="400" w:lineRule="exact"/>
        <w:ind w:firstLine="480" w:firstLineChars="200"/>
        <w:rPr>
          <w:rFonts w:hint="eastAsia" w:eastAsia="仿宋_GB2312"/>
          <w:bCs/>
          <w:sz w:val="24"/>
          <w:lang w:val="en-US" w:eastAsia="zh-CN"/>
        </w:rPr>
      </w:pPr>
      <w:r>
        <w:rPr>
          <w:rFonts w:hint="eastAsia" w:eastAsia="仿宋_GB2312"/>
          <w:bCs/>
          <w:sz w:val="24"/>
          <w:lang w:val="en-US" w:eastAsia="zh-CN"/>
        </w:rPr>
        <w:t>（3）更改菌种制作和品种的选择先后顺序（见6.1和6.2）。修订原因：更改后符合生产先后顺序。</w:t>
      </w:r>
    </w:p>
    <w:p w14:paraId="4D9414DD">
      <w:pPr>
        <w:numPr>
          <w:ilvl w:val="0"/>
          <w:numId w:val="0"/>
        </w:numPr>
        <w:spacing w:line="400" w:lineRule="exact"/>
        <w:ind w:firstLine="480" w:firstLineChars="200"/>
        <w:rPr>
          <w:rFonts w:hint="default" w:eastAsia="仿宋_GB2312"/>
          <w:bCs/>
          <w:sz w:val="24"/>
          <w:lang w:val="en-US" w:eastAsia="zh-CN"/>
        </w:rPr>
      </w:pPr>
      <w:r>
        <w:rPr>
          <w:rFonts w:hint="eastAsia" w:eastAsia="仿宋_GB2312"/>
          <w:bCs/>
          <w:sz w:val="24"/>
          <w:lang w:val="en-US" w:eastAsia="zh-CN"/>
        </w:rPr>
        <w:t>2、涉及</w:t>
      </w:r>
      <w:r>
        <w:rPr>
          <w:rFonts w:hint="eastAsia" w:eastAsia="仿宋_GB2312"/>
          <w:b/>
          <w:bCs w:val="0"/>
          <w:sz w:val="24"/>
          <w:u w:val="single"/>
          <w:lang w:val="en-US" w:eastAsia="zh-CN"/>
        </w:rPr>
        <w:t>表述与编辑性修改</w:t>
      </w:r>
      <w:r>
        <w:rPr>
          <w:rFonts w:hint="eastAsia" w:eastAsia="仿宋_GB2312"/>
          <w:bCs/>
          <w:sz w:val="24"/>
          <w:lang w:val="en-US" w:eastAsia="zh-CN"/>
        </w:rPr>
        <w:t>的主要有2项：</w:t>
      </w:r>
    </w:p>
    <w:p w14:paraId="02D7D7C2">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（1）更改了规范性引用文件（见2）修订原因：部分引用文件已修订或废止。</w:t>
      </w:r>
    </w:p>
    <w:p w14:paraId="439A99B4">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（2）更改了遮光性（见4.2）、保温性（见4.3）。修订原因：技术已更新。</w:t>
      </w:r>
    </w:p>
    <w:p w14:paraId="153619FE">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（3）更改了原辅料要求（见5）。修订原因：文字表述。</w:t>
      </w:r>
    </w:p>
    <w:p w14:paraId="16C04550">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（3）更改了播期（见6.3）。修订原因：春播播期已改变。</w:t>
      </w:r>
    </w:p>
    <w:p w14:paraId="3976149E">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（4）更改了农业防治（见7.2）、物理防治（见7.3）、化学防治（见7.4）。修订原因：防治技术已更新。</w:t>
      </w:r>
    </w:p>
    <w:p w14:paraId="01E64A19">
      <w:pPr>
        <w:numPr>
          <w:ilvl w:val="0"/>
          <w:numId w:val="0"/>
        </w:numPr>
        <w:spacing w:line="400" w:lineRule="exact"/>
        <w:ind w:firstLine="480" w:firstLineChars="200"/>
        <w:rPr>
          <w:rFonts w:hint="eastAsia" w:eastAsia="仿宋_GB2312"/>
          <w:b w:val="0"/>
          <w:bCs/>
          <w:sz w:val="24"/>
          <w:lang w:val="en-US" w:eastAsia="zh-CN"/>
        </w:rPr>
      </w:pPr>
      <w:r>
        <w:rPr>
          <w:rFonts w:hint="eastAsia" w:eastAsia="仿宋_GB2312"/>
          <w:b w:val="0"/>
          <w:bCs/>
          <w:sz w:val="24"/>
          <w:lang w:val="en-US" w:eastAsia="zh-CN"/>
        </w:rPr>
        <w:t>（5）更改了生产档案（见8）。修订原因：生产档案已更新。</w:t>
      </w:r>
    </w:p>
    <w:p w14:paraId="66F21BC0">
      <w:pPr>
        <w:numPr>
          <w:ilvl w:val="0"/>
          <w:numId w:val="0"/>
        </w:numPr>
        <w:spacing w:line="400" w:lineRule="exact"/>
        <w:ind w:firstLine="480" w:firstLineChars="200"/>
        <w:rPr>
          <w:rFonts w:hint="eastAsia" w:eastAsia="仿宋_GB2312"/>
          <w:bCs/>
          <w:sz w:val="24"/>
        </w:rPr>
      </w:pPr>
      <w:r>
        <w:rPr>
          <w:rFonts w:hint="eastAsia" w:eastAsia="仿宋_GB2312"/>
          <w:bCs/>
          <w:sz w:val="24"/>
          <w:lang w:val="en-US" w:eastAsia="zh-CN"/>
        </w:rPr>
        <w:t>3、涉及</w:t>
      </w:r>
      <w:r>
        <w:rPr>
          <w:rFonts w:hint="eastAsia" w:eastAsia="仿宋_GB2312"/>
          <w:bCs/>
          <w:sz w:val="24"/>
        </w:rPr>
        <w:t>到的</w:t>
      </w:r>
      <w:r>
        <w:rPr>
          <w:rFonts w:hint="eastAsia" w:eastAsia="仿宋_GB2312"/>
          <w:b/>
          <w:bCs w:val="0"/>
          <w:sz w:val="24"/>
          <w:u w:val="single"/>
        </w:rPr>
        <w:t>技术指标</w:t>
      </w:r>
      <w:r>
        <w:rPr>
          <w:rFonts w:hint="eastAsia" w:eastAsia="仿宋_GB2312"/>
          <w:bCs/>
          <w:sz w:val="24"/>
        </w:rPr>
        <w:t>主要有</w:t>
      </w:r>
      <w:r>
        <w:rPr>
          <w:rFonts w:hint="eastAsia" w:eastAsia="仿宋_GB2312"/>
          <w:bCs/>
          <w:sz w:val="24"/>
          <w:lang w:val="en-US" w:eastAsia="zh-CN"/>
        </w:rPr>
        <w:t>3</w:t>
      </w:r>
      <w:r>
        <w:rPr>
          <w:rFonts w:hint="eastAsia" w:eastAsia="仿宋_GB2312"/>
          <w:bCs/>
          <w:sz w:val="24"/>
        </w:rPr>
        <w:t>项：</w:t>
      </w:r>
    </w:p>
    <w:p w14:paraId="79D0EA2A">
      <w:pPr>
        <w:spacing w:line="360" w:lineRule="auto"/>
        <w:ind w:firstLine="480" w:firstLineChars="200"/>
        <w:rPr>
          <w:rFonts w:hint="eastAsia" w:eastAsia="仿宋_GB2312"/>
          <w:b w:val="0"/>
          <w:bCs w:val="0"/>
          <w:sz w:val="24"/>
          <w:lang w:eastAsia="zh-CN"/>
        </w:rPr>
      </w:pPr>
      <w:r>
        <w:rPr>
          <w:rFonts w:hint="eastAsia" w:ascii="仿宋_GB2312" w:hAnsi="宋体" w:eastAsia="仿宋_GB2312"/>
          <w:b w:val="0"/>
          <w:bCs w:val="0"/>
          <w:sz w:val="24"/>
          <w:lang w:eastAsia="zh-CN"/>
        </w:rPr>
        <w:t>（</w:t>
      </w:r>
      <w:r>
        <w:rPr>
          <w:rFonts w:hint="eastAsia" w:ascii="仿宋_GB2312" w:hAnsi="宋体" w:eastAsia="仿宋_GB2312"/>
          <w:b w:val="0"/>
          <w:bCs w:val="0"/>
          <w:sz w:val="24"/>
          <w:lang w:val="en-US" w:eastAsia="zh-CN"/>
        </w:rPr>
        <w:t>1</w:t>
      </w:r>
      <w:r>
        <w:rPr>
          <w:rFonts w:hint="eastAsia" w:ascii="仿宋_GB2312" w:hAnsi="宋体" w:eastAsia="仿宋_GB2312"/>
          <w:b w:val="0"/>
          <w:bCs w:val="0"/>
          <w:sz w:val="24"/>
          <w:lang w:eastAsia="zh-CN"/>
        </w:rPr>
        <w:t>）</w:t>
      </w:r>
      <w:r>
        <w:rPr>
          <w:rFonts w:hint="eastAsia" w:eastAsia="仿宋_GB2312"/>
          <w:b w:val="0"/>
          <w:bCs/>
          <w:sz w:val="24"/>
          <w:lang w:val="en-US" w:eastAsia="zh-CN"/>
        </w:rPr>
        <w:t>更改了播期（见6.3）：春播生产一般在12月初到3月上旬。</w:t>
      </w:r>
      <w:r>
        <w:rPr>
          <w:rFonts w:hint="eastAsia" w:eastAsia="仿宋_GB2312"/>
          <w:b w:val="0"/>
          <w:bCs w:val="0"/>
          <w:sz w:val="24"/>
          <w:lang w:eastAsia="zh-CN"/>
        </w:rPr>
        <w:t>修订原因</w:t>
      </w:r>
      <w:r>
        <w:rPr>
          <w:rFonts w:hint="eastAsia" w:eastAsia="仿宋_GB2312"/>
          <w:b w:val="0"/>
          <w:bCs w:val="0"/>
          <w:sz w:val="24"/>
          <w:lang w:val="en-US" w:eastAsia="zh-CN"/>
        </w:rPr>
        <w:t>及试验验证分析</w:t>
      </w:r>
      <w:r>
        <w:rPr>
          <w:rFonts w:hint="eastAsia" w:eastAsia="仿宋_GB2312"/>
          <w:b w:val="0"/>
          <w:bCs w:val="0"/>
          <w:sz w:val="24"/>
          <w:lang w:eastAsia="zh-CN"/>
        </w:rPr>
        <w:t>：香菇生产技术逐渐成熟，春播播期延长后</w:t>
      </w:r>
      <w:r>
        <w:rPr>
          <w:rFonts w:hint="eastAsia" w:eastAsia="仿宋_GB2312"/>
          <w:b w:val="0"/>
          <w:bCs w:val="0"/>
          <w:sz w:val="24"/>
          <w:lang w:val="en-US" w:eastAsia="zh-CN"/>
        </w:rPr>
        <w:t>香菇可正常出菇，未减产，菇品未降。</w:t>
      </w:r>
    </w:p>
    <w:p w14:paraId="79B8C2CA">
      <w:pPr>
        <w:spacing w:line="360" w:lineRule="auto"/>
        <w:ind w:firstLine="480" w:firstLineChars="200"/>
        <w:rPr>
          <w:rFonts w:hint="eastAsia" w:ascii="仿宋_GB2312" w:hAnsi="宋体" w:eastAsia="仿宋_GB2312"/>
          <w:b w:val="0"/>
          <w:bCs w:val="0"/>
          <w:sz w:val="24"/>
          <w:lang w:val="en-US" w:eastAsia="zh-CN"/>
        </w:rPr>
      </w:pPr>
      <w:r>
        <w:rPr>
          <w:rFonts w:hint="eastAsia" w:ascii="仿宋_GB2312" w:hAnsi="宋体" w:eastAsia="仿宋_GB2312"/>
          <w:b w:val="0"/>
          <w:bCs w:val="0"/>
          <w:sz w:val="24"/>
          <w:lang w:val="en-US" w:eastAsia="zh-CN"/>
        </w:rPr>
        <w:t>（2）</w:t>
      </w:r>
      <w:r>
        <w:rPr>
          <w:rFonts w:hint="eastAsia" w:eastAsia="仿宋_GB2312"/>
          <w:b w:val="0"/>
          <w:bCs/>
          <w:sz w:val="24"/>
          <w:lang w:val="en-US" w:eastAsia="zh-CN"/>
        </w:rPr>
        <w:t>更改了拌料（见6.5.1）</w:t>
      </w:r>
      <w:r>
        <w:rPr>
          <w:rFonts w:hint="eastAsia" w:eastAsia="仿宋_GB2312"/>
          <w:b w:val="0"/>
          <w:bCs w:val="0"/>
          <w:sz w:val="24"/>
          <w:lang w:val="en-US" w:eastAsia="zh-CN"/>
        </w:rPr>
        <w:t>：“原料与辅料充分混合均匀，干湿搅拌均匀，pH 值为6.5～7.5。”</w:t>
      </w:r>
      <w:r>
        <w:rPr>
          <w:rFonts w:hint="eastAsia" w:eastAsia="仿宋_GB2312"/>
          <w:b w:val="0"/>
          <w:bCs w:val="0"/>
          <w:sz w:val="24"/>
          <w:lang w:eastAsia="zh-CN"/>
        </w:rPr>
        <w:t>修订原因</w:t>
      </w:r>
      <w:r>
        <w:rPr>
          <w:rFonts w:hint="eastAsia" w:eastAsia="仿宋_GB2312"/>
          <w:b w:val="0"/>
          <w:bCs w:val="0"/>
          <w:sz w:val="24"/>
          <w:lang w:val="en-US" w:eastAsia="zh-CN"/>
        </w:rPr>
        <w:t>及试验验证分析</w:t>
      </w:r>
      <w:r>
        <w:rPr>
          <w:rFonts w:hint="eastAsia" w:eastAsia="仿宋_GB2312"/>
          <w:b w:val="0"/>
          <w:bCs w:val="0"/>
          <w:sz w:val="24"/>
          <w:lang w:eastAsia="zh-CN"/>
        </w:rPr>
        <w:t>：</w:t>
      </w:r>
      <w:r>
        <w:rPr>
          <w:rFonts w:hint="eastAsia" w:eastAsia="仿宋_GB2312"/>
          <w:b w:val="0"/>
          <w:bCs w:val="0"/>
          <w:sz w:val="24"/>
          <w:lang w:val="en-US" w:eastAsia="zh-CN"/>
        </w:rPr>
        <w:t>实际生产中pH 值为6.5～7.5，经过试验得到pH 值为6.5～7.5时，香菇可正常出菇，未减产，菇品未降</w:t>
      </w:r>
      <w:r>
        <w:rPr>
          <w:rFonts w:hint="eastAsia" w:eastAsia="仿宋_GB2312"/>
          <w:b w:val="0"/>
          <w:bCs w:val="0"/>
          <w:sz w:val="24"/>
          <w:lang w:eastAsia="zh-CN"/>
        </w:rPr>
        <w:t>。</w:t>
      </w:r>
    </w:p>
    <w:p w14:paraId="336F584C">
      <w:pPr>
        <w:spacing w:line="360" w:lineRule="auto"/>
        <w:ind w:firstLine="480" w:firstLineChars="200"/>
        <w:rPr>
          <w:rFonts w:hint="eastAsia" w:ascii="仿宋_GB2312" w:hAnsi="宋体" w:eastAsia="仿宋_GB2312"/>
          <w:b w:val="0"/>
          <w:bCs w:val="0"/>
          <w:sz w:val="24"/>
          <w:lang w:val="en-US" w:eastAsia="zh-CN"/>
        </w:rPr>
      </w:pPr>
      <w:r>
        <w:rPr>
          <w:rFonts w:hint="eastAsia" w:ascii="仿宋_GB2312" w:hAnsi="宋体" w:eastAsia="仿宋_GB2312"/>
          <w:b w:val="0"/>
          <w:bCs w:val="0"/>
          <w:sz w:val="24"/>
          <w:lang w:val="en-US" w:eastAsia="zh-CN"/>
        </w:rPr>
        <w:t>（3）更改了</w:t>
      </w:r>
      <w:r>
        <w:rPr>
          <w:rFonts w:hint="eastAsia" w:eastAsia="仿宋_GB2312"/>
          <w:b w:val="0"/>
          <w:bCs/>
          <w:sz w:val="24"/>
          <w:lang w:val="en-US" w:eastAsia="zh-CN"/>
        </w:rPr>
        <w:t>装袋（见6.5.2）：</w:t>
      </w:r>
      <w:r>
        <w:rPr>
          <w:rFonts w:hint="eastAsia" w:eastAsia="仿宋_GB2312"/>
          <w:b w:val="0"/>
          <w:bCs w:val="0"/>
          <w:sz w:val="24"/>
          <w:lang w:val="en-US" w:eastAsia="zh-CN"/>
        </w:rPr>
        <w:t>“培养料配制完成后，应及时装袋灭菌。栽培筒袋一般采用折角规格为15 cm~18 cm × 52 cm～65 cm × 0.005 cm的聚乙烯筒袋，春播用大袋，秋播用小袋。每袋装干料0.85 kg～1.5 kg，加水后湿料为1.6 kg～3.25 kg。袋口应清理干净并扎口。”修订原因及试验验证分析：实际生产中采用折角规格为15 cm~18 cm × 52 cm～65 cm × 0.005 cm的聚乙烯筒袋，香菇可正常出菇，未减产，菇品未降。</w:t>
      </w:r>
    </w:p>
    <w:p w14:paraId="620B650A">
      <w:pPr>
        <w:spacing w:line="360" w:lineRule="auto"/>
        <w:ind w:firstLine="480" w:firstLineChars="200"/>
        <w:outlineLvl w:val="0"/>
        <w:rPr>
          <w:rFonts w:hint="eastAsia" w:eastAsia="仿宋_GB2312"/>
          <w:b w:val="0"/>
          <w:bCs w:val="0"/>
          <w:sz w:val="24"/>
          <w:lang w:val="en-US" w:eastAsia="zh-CN"/>
        </w:rPr>
      </w:pPr>
      <w:r>
        <w:rPr>
          <w:rFonts w:hint="eastAsia" w:ascii="仿宋_GB2312" w:hAnsi="宋体" w:eastAsia="仿宋_GB2312"/>
          <w:b w:val="0"/>
          <w:bCs w:val="0"/>
          <w:sz w:val="24"/>
          <w:lang w:val="en-US" w:eastAsia="zh-CN"/>
        </w:rPr>
        <w:t>（4）更改了转潮管理（见</w:t>
      </w:r>
      <w:r>
        <w:rPr>
          <w:rFonts w:hint="eastAsia" w:eastAsia="仿宋_GB2312"/>
          <w:b w:val="0"/>
          <w:bCs w:val="0"/>
          <w:sz w:val="24"/>
          <w:lang w:val="en-US" w:eastAsia="zh-CN"/>
        </w:rPr>
        <w:t>6.9</w:t>
      </w:r>
      <w:r>
        <w:rPr>
          <w:rFonts w:hint="eastAsia" w:ascii="仿宋_GB2312" w:hAnsi="宋体" w:eastAsia="仿宋_GB2312"/>
          <w:b w:val="0"/>
          <w:bCs w:val="0"/>
          <w:sz w:val="24"/>
          <w:lang w:val="en-US" w:eastAsia="zh-CN"/>
        </w:rPr>
        <w:t>）：</w:t>
      </w:r>
      <w:r>
        <w:rPr>
          <w:rFonts w:hint="eastAsia" w:eastAsia="仿宋_GB2312"/>
          <w:b w:val="0"/>
          <w:bCs w:val="0"/>
          <w:sz w:val="24"/>
          <w:lang w:val="en-US" w:eastAsia="zh-CN"/>
        </w:rPr>
        <w:t>“每潮菇采收后，立即清除菇脚并打扫场地，停水5～10 d，使菌丝复壮，再进行补水，以后按照常规管理。”</w:t>
      </w:r>
      <w:r>
        <w:rPr>
          <w:rFonts w:hint="eastAsia" w:eastAsia="仿宋_GB2312"/>
          <w:b w:val="0"/>
          <w:bCs w:val="0"/>
          <w:sz w:val="24"/>
          <w:lang w:eastAsia="zh-CN"/>
        </w:rPr>
        <w:t>修订原因</w:t>
      </w:r>
      <w:r>
        <w:rPr>
          <w:rFonts w:hint="eastAsia" w:eastAsia="仿宋_GB2312"/>
          <w:b w:val="0"/>
          <w:bCs w:val="0"/>
          <w:sz w:val="24"/>
          <w:lang w:val="en-US" w:eastAsia="zh-CN"/>
        </w:rPr>
        <w:t>及试验验证分析</w:t>
      </w:r>
      <w:r>
        <w:rPr>
          <w:rFonts w:hint="eastAsia" w:eastAsia="仿宋_GB2312"/>
          <w:b w:val="0"/>
          <w:bCs w:val="0"/>
          <w:sz w:val="24"/>
          <w:lang w:eastAsia="zh-CN"/>
        </w:rPr>
        <w:t>：高寒区日光温室香菇代料生产过程中，常遇到低温，停水时间会相应延长；经过试验验证，</w:t>
      </w:r>
      <w:r>
        <w:rPr>
          <w:rFonts w:hint="eastAsia" w:eastAsia="仿宋_GB2312"/>
          <w:b w:val="0"/>
          <w:bCs w:val="0"/>
          <w:sz w:val="24"/>
          <w:lang w:val="en-US" w:eastAsia="zh-CN"/>
        </w:rPr>
        <w:t>停水5～10 d不影响香菇的正常生长</w:t>
      </w:r>
      <w:r>
        <w:rPr>
          <w:rFonts w:hint="eastAsia" w:eastAsia="仿宋_GB2312"/>
          <w:b w:val="0"/>
          <w:bCs w:val="0"/>
          <w:sz w:val="24"/>
          <w:lang w:eastAsia="zh-CN"/>
        </w:rPr>
        <w:t>。</w:t>
      </w:r>
    </w:p>
    <w:p w14:paraId="43B073DD">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6400DF64">
      <w:pPr>
        <w:spacing w:line="360" w:lineRule="auto"/>
        <w:ind w:firstLine="480" w:firstLineChars="200"/>
        <w:jc w:val="left"/>
        <w:rPr>
          <w:rFonts w:hint="eastAsia" w:ascii="仿宋_GB2312" w:hAnsi="宋体" w:eastAsia="仿宋_GB2312"/>
          <w:sz w:val="24"/>
          <w:lang w:eastAsia="zh-CN"/>
        </w:rPr>
      </w:pPr>
      <w:r>
        <w:rPr>
          <w:rFonts w:hint="eastAsia" w:ascii="仿宋_GB2312" w:hAnsi="宋体" w:eastAsia="仿宋_GB2312"/>
          <w:sz w:val="24"/>
          <w:lang w:eastAsia="zh-CN"/>
        </w:rPr>
        <w:t>发送征求意见稿单位数</w:t>
      </w:r>
      <w:r>
        <w:rPr>
          <w:rFonts w:hint="eastAsia" w:ascii="仿宋_GB2312" w:hAnsi="宋体" w:eastAsia="仿宋_GB2312"/>
          <w:sz w:val="24"/>
          <w:lang w:val="en-US" w:eastAsia="zh-CN"/>
        </w:rPr>
        <w:t>6</w:t>
      </w:r>
      <w:r>
        <w:rPr>
          <w:rFonts w:hint="eastAsia" w:ascii="仿宋_GB2312" w:hAnsi="宋体" w:eastAsia="仿宋_GB2312"/>
          <w:sz w:val="24"/>
          <w:lang w:eastAsia="zh-CN"/>
        </w:rPr>
        <w:t>个；回到征求意见稿回函的单位</w:t>
      </w:r>
      <w:r>
        <w:rPr>
          <w:rFonts w:hint="eastAsia" w:ascii="仿宋_GB2312" w:hAnsi="宋体" w:eastAsia="仿宋_GB2312"/>
          <w:sz w:val="24"/>
          <w:lang w:val="en-US" w:eastAsia="zh-CN"/>
        </w:rPr>
        <w:t>6</w:t>
      </w:r>
      <w:r>
        <w:rPr>
          <w:rFonts w:hint="eastAsia" w:ascii="仿宋_GB2312" w:hAnsi="宋体" w:eastAsia="仿宋_GB2312"/>
          <w:sz w:val="24"/>
          <w:lang w:eastAsia="zh-CN"/>
        </w:rPr>
        <w:t>个，收到征求意见稿并提出意见的单位数</w:t>
      </w:r>
      <w:r>
        <w:rPr>
          <w:rFonts w:hint="eastAsia" w:ascii="仿宋_GB2312" w:hAnsi="宋体" w:eastAsia="仿宋_GB2312"/>
          <w:sz w:val="24"/>
          <w:lang w:val="en-US" w:eastAsia="zh-CN"/>
        </w:rPr>
        <w:t>6</w:t>
      </w:r>
      <w:r>
        <w:rPr>
          <w:rFonts w:hint="eastAsia" w:ascii="仿宋_GB2312" w:hAnsi="宋体" w:eastAsia="仿宋_GB2312"/>
          <w:sz w:val="24"/>
          <w:lang w:eastAsia="zh-CN"/>
        </w:rPr>
        <w:t>个；没有回函的单位数0个；共收到</w:t>
      </w:r>
      <w:r>
        <w:rPr>
          <w:rFonts w:hint="eastAsia" w:ascii="仿宋_GB2312" w:hAnsi="宋体" w:eastAsia="仿宋_GB2312"/>
          <w:sz w:val="24"/>
          <w:lang w:val="en-US" w:eastAsia="zh-CN"/>
        </w:rPr>
        <w:t>6</w:t>
      </w:r>
      <w:r>
        <w:rPr>
          <w:rFonts w:hint="eastAsia" w:ascii="仿宋_GB2312" w:hAnsi="宋体" w:eastAsia="仿宋_GB2312"/>
          <w:sz w:val="24"/>
          <w:lang w:eastAsia="zh-CN"/>
        </w:rPr>
        <w:t>条意见，采纳</w:t>
      </w:r>
      <w:r>
        <w:rPr>
          <w:rFonts w:hint="eastAsia" w:ascii="仿宋_GB2312" w:hAnsi="宋体" w:eastAsia="仿宋_GB2312"/>
          <w:sz w:val="24"/>
          <w:lang w:val="en-US" w:eastAsia="zh-CN"/>
        </w:rPr>
        <w:t>4</w:t>
      </w:r>
      <w:r>
        <w:rPr>
          <w:rFonts w:hint="eastAsia" w:ascii="仿宋_GB2312" w:hAnsi="宋体" w:eastAsia="仿宋_GB2312"/>
          <w:sz w:val="24"/>
          <w:lang w:eastAsia="zh-CN"/>
        </w:rPr>
        <w:t>条意见，部分采纳</w:t>
      </w:r>
      <w:r>
        <w:rPr>
          <w:rFonts w:hint="eastAsia" w:ascii="仿宋_GB2312" w:hAnsi="宋体" w:eastAsia="仿宋_GB2312"/>
          <w:sz w:val="24"/>
          <w:lang w:val="en-US" w:eastAsia="zh-CN"/>
        </w:rPr>
        <w:t>1</w:t>
      </w:r>
      <w:r>
        <w:rPr>
          <w:rFonts w:hint="eastAsia" w:ascii="仿宋_GB2312" w:hAnsi="宋体" w:eastAsia="仿宋_GB2312"/>
          <w:sz w:val="24"/>
          <w:lang w:eastAsia="zh-CN"/>
        </w:rPr>
        <w:t>条意见，未采纳</w:t>
      </w:r>
      <w:r>
        <w:rPr>
          <w:rFonts w:hint="eastAsia" w:ascii="仿宋_GB2312" w:hAnsi="宋体" w:eastAsia="仿宋_GB2312"/>
          <w:sz w:val="24"/>
          <w:lang w:val="en-US" w:eastAsia="zh-CN"/>
        </w:rPr>
        <w:t>1</w:t>
      </w:r>
      <w:r>
        <w:rPr>
          <w:rFonts w:hint="eastAsia" w:ascii="仿宋_GB2312" w:hAnsi="宋体" w:eastAsia="仿宋_GB2312"/>
          <w:sz w:val="24"/>
          <w:lang w:eastAsia="zh-CN"/>
        </w:rPr>
        <w:t>条意见。</w:t>
      </w:r>
    </w:p>
    <w:p w14:paraId="3933CE46">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02839387">
      <w:pPr>
        <w:spacing w:line="360" w:lineRule="auto"/>
        <w:ind w:firstLine="480" w:firstLineChars="200"/>
        <w:outlineLvl w:val="0"/>
        <w:rPr>
          <w:rFonts w:hint="default" w:ascii="仿宋_GB2312" w:hAnsi="宋体" w:eastAsia="仿宋_GB2312"/>
          <w:sz w:val="24"/>
          <w:lang w:val="en-US" w:eastAsia="zh-CN"/>
        </w:rPr>
      </w:pPr>
      <w:r>
        <w:rPr>
          <w:rFonts w:hint="eastAsia" w:ascii="仿宋_GB2312" w:hAnsi="宋体" w:eastAsia="仿宋_GB2312"/>
          <w:sz w:val="24"/>
          <w:lang w:val="en-US" w:eastAsia="zh-CN"/>
        </w:rPr>
        <w:t>无。</w:t>
      </w:r>
    </w:p>
    <w:p w14:paraId="5D2106E6">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eastAsia="黑体"/>
          <w:sz w:val="24"/>
          <w:lang w:eastAsia="zh-CN"/>
        </w:rPr>
        <w:t>、</w:t>
      </w:r>
      <w:r>
        <w:rPr>
          <w:rFonts w:hint="eastAsia" w:ascii="黑体" w:hAnsi="黑体" w:eastAsia="黑体"/>
          <w:sz w:val="24"/>
          <w:szCs w:val="24"/>
        </w:rPr>
        <w:t>作为推荐性标准或者强制性标准的建议及其理由。</w:t>
      </w:r>
    </w:p>
    <w:p w14:paraId="78D067F2">
      <w:pPr>
        <w:spacing w:line="360" w:lineRule="auto"/>
        <w:ind w:firstLine="480" w:firstLineChars="200"/>
        <w:jc w:val="left"/>
        <w:rPr>
          <w:rFonts w:ascii="仿宋_GB2312" w:hAnsi="宋体" w:eastAsia="仿宋_GB2312"/>
          <w:sz w:val="24"/>
        </w:rPr>
      </w:pPr>
      <w:r>
        <w:rPr>
          <w:rFonts w:ascii="仿宋_GB2312" w:hAnsi="宋体" w:eastAsia="仿宋_GB2312"/>
          <w:sz w:val="24"/>
        </w:rPr>
        <w:t>建议本标准为推荐性标准。</w:t>
      </w:r>
    </w:p>
    <w:p w14:paraId="24EE9E08">
      <w:pPr>
        <w:spacing w:line="360" w:lineRule="auto"/>
        <w:ind w:firstLine="480" w:firstLineChars="200"/>
        <w:outlineLvl w:val="0"/>
        <w:rPr>
          <w:rFonts w:ascii="黑体" w:eastAsia="黑体"/>
          <w:sz w:val="24"/>
        </w:rPr>
      </w:pPr>
      <w:r>
        <w:rPr>
          <w:rFonts w:hint="eastAsia" w:ascii="黑体" w:eastAsia="黑体"/>
          <w:sz w:val="24"/>
        </w:rPr>
        <w:t>九</w:t>
      </w:r>
      <w:r>
        <w:rPr>
          <w:rFonts w:ascii="黑体" w:eastAsia="黑体"/>
          <w:sz w:val="24"/>
        </w:rPr>
        <w:t>、</w:t>
      </w:r>
      <w:r>
        <w:rPr>
          <w:rFonts w:hint="eastAsia" w:ascii="黑体" w:eastAsia="黑体"/>
          <w:sz w:val="24"/>
        </w:rPr>
        <w:t>实施</w:t>
      </w:r>
      <w:r>
        <w:rPr>
          <w:rFonts w:ascii="黑体" w:eastAsia="黑体"/>
          <w:sz w:val="24"/>
        </w:rPr>
        <w:t>标准的措施建议</w:t>
      </w:r>
    </w:p>
    <w:p w14:paraId="127EF991">
      <w:pPr>
        <w:spacing w:line="360" w:lineRule="auto"/>
        <w:ind w:firstLine="480" w:firstLineChars="200"/>
        <w:jc w:val="left"/>
        <w:rPr>
          <w:rFonts w:hint="eastAsia" w:ascii="仿宋_GB2312" w:hAnsi="宋体" w:eastAsia="仿宋_GB2312"/>
          <w:sz w:val="24"/>
          <w:lang w:val="en-US" w:eastAsia="zh-CN"/>
        </w:rPr>
        <w:sectPr>
          <w:footerReference r:id="rId3" w:type="default"/>
          <w:pgSz w:w="11906" w:h="16838"/>
          <w:pgMar w:top="1440" w:right="1803" w:bottom="1440" w:left="1803" w:header="851" w:footer="992" w:gutter="0"/>
          <w:pgNumType w:start="1"/>
          <w:cols w:space="0" w:num="1"/>
          <w:titlePg/>
          <w:rtlGutter w:val="0"/>
          <w:docGrid w:type="lines" w:linePitch="319" w:charSpace="0"/>
        </w:sectPr>
      </w:pPr>
      <w:r>
        <w:rPr>
          <w:rFonts w:hint="eastAsia" w:ascii="仿宋_GB2312" w:hAnsi="宋体" w:eastAsia="仿宋_GB2312"/>
          <w:sz w:val="24"/>
          <w:lang w:val="en-US" w:eastAsia="zh-CN"/>
        </w:rPr>
        <w:t>标准起草单位，在全省范围内由科技人员深入企业、专业合作社、农户进行现场观摩和举办培训，针对生产关键环节、关键技术进行培训，在结球甘蓝主产区进行技术指导，保证标准的推广和有效实施。</w:t>
      </w:r>
    </w:p>
    <w:p w14:paraId="7320C856">
      <w:pPr>
        <w:tabs>
          <w:tab w:val="left" w:pos="11340"/>
        </w:tabs>
        <w:ind w:firstLine="602"/>
        <w:jc w:val="center"/>
        <w:rPr>
          <w:b/>
          <w:sz w:val="30"/>
          <w:szCs w:val="30"/>
        </w:rPr>
      </w:pPr>
      <w:r>
        <w:rPr>
          <w:rFonts w:hint="eastAsia"/>
          <w:b/>
          <w:sz w:val="30"/>
          <w:szCs w:val="30"/>
          <w:lang w:val="en-US" w:eastAsia="zh-CN"/>
        </w:rPr>
        <w:t>高寒区日光温室香菇代料生产技术规程征求意见</w:t>
      </w:r>
      <w:r>
        <w:rPr>
          <w:b/>
          <w:sz w:val="30"/>
          <w:szCs w:val="30"/>
        </w:rPr>
        <w:t>汇总处理表</w:t>
      </w:r>
    </w:p>
    <w:p w14:paraId="0DDE474D">
      <w:pPr>
        <w:jc w:val="left"/>
        <w:rPr>
          <w:szCs w:val="21"/>
        </w:rPr>
      </w:pPr>
      <w:r>
        <w:rPr>
          <w:szCs w:val="21"/>
        </w:rPr>
        <w:t>起草单位：山西农业大学</w:t>
      </w:r>
      <w:r>
        <w:rPr>
          <w:rFonts w:hint="eastAsia"/>
          <w:szCs w:val="21"/>
        </w:rPr>
        <w:t xml:space="preserve"> </w:t>
      </w:r>
      <w:r>
        <w:rPr>
          <w:rFonts w:hint="eastAsia"/>
          <w:szCs w:val="21"/>
          <w:lang w:val="en-US" w:eastAsia="zh-CN"/>
        </w:rPr>
        <w:t xml:space="preserve">               </w:t>
      </w:r>
      <w:r>
        <w:rPr>
          <w:rFonts w:hint="eastAsia"/>
          <w:szCs w:val="21"/>
        </w:rPr>
        <w:t xml:space="preserve"> </w:t>
      </w:r>
      <w:r>
        <w:rPr>
          <w:szCs w:val="21"/>
        </w:rPr>
        <w:t>承办人：</w:t>
      </w:r>
      <w:r>
        <w:rPr>
          <w:rFonts w:hint="eastAsia"/>
          <w:szCs w:val="21"/>
          <w:lang w:eastAsia="zh-CN"/>
        </w:rPr>
        <w:t>凌亮</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w:t>
      </w:r>
      <w:r>
        <w:rPr>
          <w:szCs w:val="21"/>
        </w:rPr>
        <w:t>电话</w:t>
      </w:r>
      <w:r>
        <w:rPr>
          <w:rFonts w:hint="eastAsia"/>
          <w:szCs w:val="21"/>
          <w:lang w:eastAsia="zh-CN"/>
        </w:rPr>
        <w:t>：</w:t>
      </w:r>
      <w:r>
        <w:rPr>
          <w:rFonts w:hint="eastAsia"/>
          <w:szCs w:val="21"/>
          <w:lang w:val="en-US" w:eastAsia="zh-CN"/>
        </w:rPr>
        <w:t xml:space="preserve">17635117886         </w:t>
      </w:r>
      <w:r>
        <w:rPr>
          <w:rFonts w:hint="eastAsia"/>
          <w:szCs w:val="21"/>
        </w:rPr>
        <w:t xml:space="preserve">   </w:t>
      </w:r>
      <w:r>
        <w:rPr>
          <w:rFonts w:hint="eastAsia"/>
          <w:szCs w:val="21"/>
          <w:lang w:val="en-US" w:eastAsia="zh-CN"/>
        </w:rPr>
        <w:t>填写时间 2024</w:t>
      </w:r>
      <w:r>
        <w:rPr>
          <w:szCs w:val="21"/>
        </w:rPr>
        <w:t>年</w:t>
      </w:r>
      <w:r>
        <w:rPr>
          <w:rFonts w:hint="eastAsia"/>
          <w:szCs w:val="21"/>
          <w:lang w:val="en-US" w:eastAsia="zh-CN"/>
        </w:rPr>
        <w:t xml:space="preserve"> 1</w:t>
      </w:r>
      <w:r>
        <w:rPr>
          <w:szCs w:val="21"/>
        </w:rPr>
        <w:t>月</w:t>
      </w:r>
      <w:r>
        <w:rPr>
          <w:rFonts w:hint="eastAsia"/>
          <w:szCs w:val="21"/>
          <w:lang w:val="en-US" w:eastAsia="zh-CN"/>
        </w:rPr>
        <w:t>18</w:t>
      </w:r>
      <w:bookmarkStart w:id="2" w:name="_GoBack"/>
      <w:bookmarkEnd w:id="2"/>
      <w:r>
        <w:rPr>
          <w:szCs w:val="21"/>
        </w:rPr>
        <w:t>日</w:t>
      </w:r>
    </w:p>
    <w:tbl>
      <w:tblPr>
        <w:tblStyle w:val="12"/>
        <w:tblW w:w="1431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16"/>
        <w:gridCol w:w="1608"/>
        <w:gridCol w:w="7409"/>
        <w:gridCol w:w="2182"/>
        <w:gridCol w:w="1220"/>
        <w:gridCol w:w="1080"/>
      </w:tblGrid>
      <w:tr w14:paraId="4DE4962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73" w:hRule="atLeast"/>
          <w:jc w:val="center"/>
        </w:trPr>
        <w:tc>
          <w:tcPr>
            <w:tcW w:w="816" w:type="dxa"/>
            <w:noWrap w:val="0"/>
            <w:vAlign w:val="center"/>
          </w:tcPr>
          <w:p w14:paraId="312F13D3">
            <w:pPr>
              <w:keepNext w:val="0"/>
              <w:keepLines w:val="0"/>
              <w:suppressLineNumbers w:val="0"/>
              <w:spacing w:before="0" w:beforeAutospacing="0" w:after="0" w:afterAutospacing="0"/>
              <w:ind w:left="0" w:right="0"/>
              <w:contextualSpacing/>
              <w:jc w:val="center"/>
              <w:rPr>
                <w:rFonts w:hint="default"/>
                <w:sz w:val="21"/>
                <w:szCs w:val="21"/>
              </w:rPr>
            </w:pPr>
            <w:r>
              <w:rPr>
                <w:rFonts w:hint="default"/>
                <w:sz w:val="21"/>
                <w:szCs w:val="21"/>
              </w:rPr>
              <w:t>序号</w:t>
            </w:r>
          </w:p>
        </w:tc>
        <w:tc>
          <w:tcPr>
            <w:tcW w:w="1608" w:type="dxa"/>
            <w:noWrap w:val="0"/>
            <w:vAlign w:val="center"/>
          </w:tcPr>
          <w:p w14:paraId="78FAB39F">
            <w:pPr>
              <w:keepNext w:val="0"/>
              <w:keepLines w:val="0"/>
              <w:suppressLineNumbers w:val="0"/>
              <w:spacing w:before="0" w:beforeAutospacing="0" w:after="0" w:afterAutospacing="0"/>
              <w:ind w:left="0" w:right="0"/>
              <w:contextualSpacing/>
              <w:jc w:val="center"/>
              <w:rPr>
                <w:rFonts w:hint="default"/>
                <w:sz w:val="21"/>
                <w:szCs w:val="21"/>
              </w:rPr>
            </w:pPr>
            <w:r>
              <w:rPr>
                <w:rFonts w:hint="default"/>
                <w:sz w:val="21"/>
                <w:szCs w:val="21"/>
              </w:rPr>
              <w:t>章条编号</w:t>
            </w:r>
          </w:p>
        </w:tc>
        <w:tc>
          <w:tcPr>
            <w:tcW w:w="7409" w:type="dxa"/>
            <w:noWrap w:val="0"/>
            <w:vAlign w:val="center"/>
          </w:tcPr>
          <w:p w14:paraId="20D3D92A">
            <w:pPr>
              <w:keepNext w:val="0"/>
              <w:keepLines w:val="0"/>
              <w:suppressLineNumbers w:val="0"/>
              <w:spacing w:before="0" w:beforeAutospacing="0" w:after="0" w:afterAutospacing="0"/>
              <w:ind w:left="0" w:right="0" w:firstLine="420"/>
              <w:contextualSpacing/>
              <w:jc w:val="center"/>
              <w:rPr>
                <w:rFonts w:hint="default"/>
                <w:sz w:val="21"/>
                <w:szCs w:val="21"/>
              </w:rPr>
            </w:pPr>
            <w:r>
              <w:rPr>
                <w:rFonts w:hint="default"/>
                <w:sz w:val="21"/>
                <w:szCs w:val="21"/>
              </w:rPr>
              <w:t>意见内容</w:t>
            </w:r>
          </w:p>
        </w:tc>
        <w:tc>
          <w:tcPr>
            <w:tcW w:w="2182" w:type="dxa"/>
            <w:noWrap w:val="0"/>
            <w:vAlign w:val="center"/>
          </w:tcPr>
          <w:p w14:paraId="36D8ACF2">
            <w:pPr>
              <w:keepNext w:val="0"/>
              <w:keepLines w:val="0"/>
              <w:suppressLineNumbers w:val="0"/>
              <w:spacing w:before="0" w:beforeAutospacing="0" w:after="0" w:afterAutospacing="0"/>
              <w:ind w:left="0" w:right="0"/>
              <w:contextualSpacing/>
              <w:jc w:val="center"/>
              <w:rPr>
                <w:rFonts w:hint="default"/>
                <w:sz w:val="21"/>
                <w:szCs w:val="21"/>
              </w:rPr>
            </w:pPr>
            <w:r>
              <w:rPr>
                <w:rFonts w:hint="default"/>
                <w:sz w:val="21"/>
                <w:szCs w:val="21"/>
              </w:rPr>
              <w:t>提出单位</w:t>
            </w:r>
          </w:p>
        </w:tc>
        <w:tc>
          <w:tcPr>
            <w:tcW w:w="1220" w:type="dxa"/>
            <w:noWrap w:val="0"/>
            <w:vAlign w:val="center"/>
          </w:tcPr>
          <w:p w14:paraId="29BE6E05">
            <w:pPr>
              <w:keepNext w:val="0"/>
              <w:keepLines w:val="0"/>
              <w:suppressLineNumbers w:val="0"/>
              <w:spacing w:before="0" w:beforeAutospacing="0" w:after="0" w:afterAutospacing="0"/>
              <w:ind w:left="0" w:right="0"/>
              <w:contextualSpacing/>
              <w:jc w:val="center"/>
              <w:rPr>
                <w:rFonts w:hint="default"/>
                <w:sz w:val="21"/>
                <w:szCs w:val="21"/>
              </w:rPr>
            </w:pPr>
            <w:r>
              <w:rPr>
                <w:rFonts w:hint="default"/>
                <w:sz w:val="21"/>
                <w:szCs w:val="21"/>
              </w:rPr>
              <w:t>处理意见</w:t>
            </w:r>
          </w:p>
        </w:tc>
        <w:tc>
          <w:tcPr>
            <w:tcW w:w="1080" w:type="dxa"/>
            <w:noWrap w:val="0"/>
            <w:vAlign w:val="center"/>
          </w:tcPr>
          <w:p w14:paraId="43E724D8">
            <w:pPr>
              <w:keepNext w:val="0"/>
              <w:keepLines w:val="0"/>
              <w:suppressLineNumbers w:val="0"/>
              <w:spacing w:before="0" w:beforeAutospacing="0" w:after="0" w:afterAutospacing="0"/>
              <w:ind w:left="0" w:right="0" w:firstLine="199" w:firstLineChars="95"/>
              <w:contextualSpacing/>
              <w:jc w:val="center"/>
              <w:rPr>
                <w:rFonts w:hint="default"/>
                <w:sz w:val="21"/>
                <w:szCs w:val="21"/>
              </w:rPr>
            </w:pPr>
            <w:r>
              <w:rPr>
                <w:rFonts w:hint="default"/>
                <w:sz w:val="21"/>
                <w:szCs w:val="21"/>
              </w:rPr>
              <w:t>备注</w:t>
            </w:r>
          </w:p>
        </w:tc>
      </w:tr>
      <w:tr w14:paraId="78323BE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96" w:hRule="atLeast"/>
          <w:jc w:val="center"/>
        </w:trPr>
        <w:tc>
          <w:tcPr>
            <w:tcW w:w="816" w:type="dxa"/>
            <w:noWrap w:val="0"/>
            <w:vAlign w:val="center"/>
          </w:tcPr>
          <w:p w14:paraId="5CB908C9">
            <w:pPr>
              <w:keepNext w:val="0"/>
              <w:keepLines w:val="0"/>
              <w:suppressLineNumbers w:val="0"/>
              <w:spacing w:before="0" w:beforeAutospacing="0" w:after="0" w:afterAutospacing="0"/>
              <w:ind w:left="0" w:right="0"/>
              <w:contextualSpacing/>
              <w:jc w:val="center"/>
              <w:rPr>
                <w:rFonts w:hint="default"/>
                <w:sz w:val="21"/>
                <w:szCs w:val="21"/>
              </w:rPr>
            </w:pPr>
            <w:r>
              <w:rPr>
                <w:rFonts w:hint="default"/>
                <w:sz w:val="21"/>
                <w:szCs w:val="21"/>
              </w:rPr>
              <w:t>1</w:t>
            </w:r>
          </w:p>
        </w:tc>
        <w:tc>
          <w:tcPr>
            <w:tcW w:w="1608" w:type="dxa"/>
            <w:noWrap w:val="0"/>
            <w:vAlign w:val="center"/>
          </w:tcPr>
          <w:p w14:paraId="47380FA1">
            <w:pPr>
              <w:keepNext w:val="0"/>
              <w:keepLines w:val="0"/>
              <w:suppressLineNumbers w:val="0"/>
              <w:snapToGrid w:val="0"/>
              <w:spacing w:before="0" w:beforeAutospacing="0" w:after="0" w:afterAutospacing="0" w:line="360" w:lineRule="auto"/>
              <w:ind w:left="0" w:right="0"/>
              <w:jc w:val="center"/>
              <w:rPr>
                <w:rFonts w:hint="default" w:eastAsia="宋体"/>
                <w:sz w:val="21"/>
                <w:szCs w:val="21"/>
                <w:lang w:val="en-US" w:eastAsia="zh-CN"/>
              </w:rPr>
            </w:pPr>
            <w:r>
              <w:rPr>
                <w:rFonts w:hint="eastAsia"/>
                <w:sz w:val="21"/>
                <w:szCs w:val="21"/>
                <w:lang w:val="en-US" w:eastAsia="zh-CN"/>
              </w:rPr>
              <w:t>2</w:t>
            </w:r>
          </w:p>
        </w:tc>
        <w:tc>
          <w:tcPr>
            <w:tcW w:w="7409" w:type="dxa"/>
            <w:noWrap w:val="0"/>
            <w:vAlign w:val="center"/>
          </w:tcPr>
          <w:p w14:paraId="71F9A0DF">
            <w:pPr>
              <w:keepNext w:val="0"/>
              <w:keepLines w:val="0"/>
              <w:suppressLineNumbers w:val="0"/>
              <w:snapToGrid w:val="0"/>
              <w:spacing w:before="0" w:beforeAutospacing="0" w:after="0" w:afterAutospacing="0" w:line="360" w:lineRule="auto"/>
              <w:ind w:left="0" w:right="0"/>
              <w:jc w:val="center"/>
              <w:rPr>
                <w:rFonts w:hint="eastAsia" w:ascii="Times New Roman" w:hAnsi="Times New Roman" w:eastAsia="宋体" w:cs="Times New Roman"/>
                <w:sz w:val="21"/>
                <w:szCs w:val="21"/>
              </w:rPr>
            </w:pPr>
            <w:r>
              <w:rPr>
                <w:rFonts w:hint="eastAsia" w:ascii="Times New Roman" w:hAnsi="Times New Roman" w:eastAsia="宋体" w:cs="Times New Roman"/>
                <w:kern w:val="0"/>
                <w:sz w:val="21"/>
                <w:szCs w:val="20"/>
                <w:lang w:val="en-US" w:eastAsia="zh-CN" w:bidi="ar-SA"/>
              </w:rPr>
              <w:t>建议修订“规范性引用文件”</w:t>
            </w:r>
          </w:p>
        </w:tc>
        <w:tc>
          <w:tcPr>
            <w:tcW w:w="2182" w:type="dxa"/>
            <w:noWrap w:val="0"/>
            <w:vAlign w:val="center"/>
          </w:tcPr>
          <w:p w14:paraId="1CB32452">
            <w:pPr>
              <w:keepNext w:val="0"/>
              <w:keepLines w:val="0"/>
              <w:suppressLineNumbers w:val="0"/>
              <w:snapToGrid w:val="0"/>
              <w:spacing w:before="0" w:beforeAutospacing="0" w:after="0" w:afterAutospacing="0" w:line="360" w:lineRule="auto"/>
              <w:ind w:left="0" w:right="0"/>
              <w:jc w:val="center"/>
              <w:rPr>
                <w:rFonts w:hint="default"/>
                <w:sz w:val="21"/>
                <w:szCs w:val="21"/>
              </w:rPr>
            </w:pPr>
            <w:r>
              <w:rPr>
                <w:rFonts w:hint="default"/>
                <w:sz w:val="21"/>
                <w:szCs w:val="21"/>
              </w:rPr>
              <w:t>山西农业大学高寒作物研究所</w:t>
            </w:r>
          </w:p>
        </w:tc>
        <w:tc>
          <w:tcPr>
            <w:tcW w:w="1220" w:type="dxa"/>
            <w:noWrap w:val="0"/>
            <w:vAlign w:val="center"/>
          </w:tcPr>
          <w:p w14:paraId="4EE2F157">
            <w:pPr>
              <w:keepNext w:val="0"/>
              <w:keepLines w:val="0"/>
              <w:suppressLineNumbers w:val="0"/>
              <w:snapToGrid w:val="0"/>
              <w:spacing w:before="0" w:beforeAutospacing="0" w:after="0" w:afterAutospacing="0" w:line="360" w:lineRule="auto"/>
              <w:ind w:left="0" w:right="0"/>
              <w:jc w:val="center"/>
              <w:rPr>
                <w:rFonts w:hint="eastAsia" w:eastAsia="宋体"/>
                <w:sz w:val="21"/>
                <w:szCs w:val="21"/>
                <w:lang w:eastAsia="zh-CN"/>
              </w:rPr>
            </w:pPr>
            <w:r>
              <w:rPr>
                <w:rFonts w:hint="eastAsia"/>
                <w:sz w:val="21"/>
                <w:szCs w:val="21"/>
                <w:lang w:eastAsia="zh-CN"/>
              </w:rPr>
              <w:t>采纳</w:t>
            </w:r>
          </w:p>
        </w:tc>
        <w:tc>
          <w:tcPr>
            <w:tcW w:w="1080" w:type="dxa"/>
            <w:noWrap w:val="0"/>
            <w:vAlign w:val="center"/>
          </w:tcPr>
          <w:p w14:paraId="1BAD4DC9">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5A0BF97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27" w:hRule="atLeast"/>
          <w:jc w:val="center"/>
        </w:trPr>
        <w:tc>
          <w:tcPr>
            <w:tcW w:w="816" w:type="dxa"/>
            <w:noWrap w:val="0"/>
            <w:vAlign w:val="center"/>
          </w:tcPr>
          <w:p w14:paraId="204EB5B0">
            <w:pPr>
              <w:keepNext w:val="0"/>
              <w:keepLines w:val="0"/>
              <w:suppressLineNumbers w:val="0"/>
              <w:spacing w:before="0" w:beforeAutospacing="0" w:after="0" w:afterAutospacing="0"/>
              <w:ind w:left="0" w:right="0"/>
              <w:contextualSpacing/>
              <w:jc w:val="center"/>
              <w:rPr>
                <w:rFonts w:hint="default"/>
                <w:kern w:val="2"/>
                <w:sz w:val="21"/>
                <w:szCs w:val="21"/>
                <w:lang w:val="en-US" w:eastAsia="zh-CN" w:bidi="ar-SA"/>
              </w:rPr>
            </w:pPr>
            <w:r>
              <w:rPr>
                <w:rFonts w:hint="default"/>
                <w:sz w:val="21"/>
                <w:szCs w:val="21"/>
              </w:rPr>
              <w:t>2</w:t>
            </w:r>
          </w:p>
        </w:tc>
        <w:tc>
          <w:tcPr>
            <w:tcW w:w="1608" w:type="dxa"/>
            <w:noWrap w:val="0"/>
            <w:vAlign w:val="center"/>
          </w:tcPr>
          <w:p w14:paraId="4ADC627B">
            <w:pPr>
              <w:keepNext w:val="0"/>
              <w:keepLines w:val="0"/>
              <w:suppressLineNumbers w:val="0"/>
              <w:snapToGrid w:val="0"/>
              <w:spacing w:before="0" w:beforeAutospacing="0" w:after="0" w:afterAutospacing="0" w:line="360" w:lineRule="auto"/>
              <w:ind w:left="0" w:right="0"/>
              <w:jc w:val="center"/>
              <w:rPr>
                <w:rFonts w:hint="default" w:eastAsia="宋体"/>
                <w:bCs/>
                <w:kern w:val="2"/>
                <w:sz w:val="21"/>
                <w:szCs w:val="21"/>
                <w:lang w:val="en-US" w:eastAsia="zh-CN" w:bidi="ar-SA"/>
              </w:rPr>
            </w:pPr>
            <w:r>
              <w:rPr>
                <w:rFonts w:hint="eastAsia" w:cs="Times New Roman"/>
                <w:sz w:val="21"/>
                <w:szCs w:val="21"/>
                <w:lang w:val="en-US" w:eastAsia="zh-CN"/>
              </w:rPr>
              <w:t>7.5.5.1</w:t>
            </w:r>
          </w:p>
        </w:tc>
        <w:tc>
          <w:tcPr>
            <w:tcW w:w="7409" w:type="dxa"/>
            <w:noWrap w:val="0"/>
            <w:vAlign w:val="center"/>
          </w:tcPr>
          <w:p w14:paraId="38BB76A4">
            <w:pPr>
              <w:keepNext w:val="0"/>
              <w:keepLines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kern w:val="2"/>
                <w:sz w:val="21"/>
                <w:szCs w:val="21"/>
                <w:lang w:val="en-US" w:eastAsia="zh-CN" w:bidi="ar-SA"/>
              </w:rPr>
            </w:pPr>
            <w:r>
              <w:rPr>
                <w:rFonts w:hint="eastAsia" w:cs="Times New Roman"/>
                <w:sz w:val="21"/>
                <w:szCs w:val="21"/>
                <w:lang w:val="en-US" w:eastAsia="zh-CN"/>
              </w:rPr>
              <w:t>建议修改“消毒时间为10</w:t>
            </w:r>
            <w:r>
              <w:rPr>
                <w:rFonts w:hint="eastAsia" w:ascii="Times New Roman"/>
              </w:rPr>
              <w:t>～</w:t>
            </w:r>
            <w:r>
              <w:rPr>
                <w:rFonts w:hint="eastAsia" w:cs="Times New Roman"/>
                <w:sz w:val="21"/>
                <w:szCs w:val="21"/>
                <w:lang w:val="en-US" w:eastAsia="zh-CN"/>
              </w:rPr>
              <w:t>15h”</w:t>
            </w:r>
          </w:p>
        </w:tc>
        <w:tc>
          <w:tcPr>
            <w:tcW w:w="2182" w:type="dxa"/>
            <w:noWrap w:val="0"/>
            <w:vAlign w:val="center"/>
          </w:tcPr>
          <w:p w14:paraId="77DA2397">
            <w:pPr>
              <w:keepNext w:val="0"/>
              <w:keepLines w:val="0"/>
              <w:suppressLineNumbers w:val="0"/>
              <w:snapToGrid w:val="0"/>
              <w:spacing w:before="0" w:beforeAutospacing="0" w:after="0" w:afterAutospacing="0" w:line="360" w:lineRule="auto"/>
              <w:ind w:left="0" w:leftChars="0" w:right="0" w:rightChars="0"/>
              <w:jc w:val="center"/>
              <w:rPr>
                <w:rFonts w:hint="eastAsia"/>
                <w:kern w:val="2"/>
                <w:sz w:val="21"/>
                <w:szCs w:val="21"/>
                <w:lang w:val="en-US" w:eastAsia="zh-CN" w:bidi="ar-SA"/>
              </w:rPr>
            </w:pPr>
            <w:r>
              <w:rPr>
                <w:rFonts w:hint="default"/>
                <w:kern w:val="2"/>
                <w:sz w:val="21"/>
                <w:szCs w:val="21"/>
                <w:lang w:val="en-US" w:eastAsia="zh-CN" w:bidi="ar-SA"/>
              </w:rPr>
              <w:t>中阳县农业农村局</w:t>
            </w:r>
          </w:p>
        </w:tc>
        <w:tc>
          <w:tcPr>
            <w:tcW w:w="1220" w:type="dxa"/>
            <w:noWrap w:val="0"/>
            <w:vAlign w:val="center"/>
          </w:tcPr>
          <w:p w14:paraId="0195B6FE">
            <w:pPr>
              <w:keepNext w:val="0"/>
              <w:keepLines w:val="0"/>
              <w:suppressLineNumbers w:val="0"/>
              <w:snapToGrid w:val="0"/>
              <w:spacing w:before="0" w:beforeAutospacing="0" w:after="0" w:afterAutospacing="0" w:line="360" w:lineRule="auto"/>
              <w:ind w:left="0" w:right="0"/>
              <w:jc w:val="center"/>
              <w:rPr>
                <w:rFonts w:hint="eastAsia"/>
                <w:sz w:val="21"/>
                <w:szCs w:val="21"/>
                <w:lang w:eastAsia="zh-CN"/>
              </w:rPr>
            </w:pPr>
            <w:r>
              <w:rPr>
                <w:rFonts w:hint="eastAsia"/>
                <w:sz w:val="21"/>
                <w:szCs w:val="21"/>
                <w:lang w:eastAsia="zh-CN"/>
              </w:rPr>
              <w:t>不采纳</w:t>
            </w:r>
          </w:p>
        </w:tc>
        <w:tc>
          <w:tcPr>
            <w:tcW w:w="1080" w:type="dxa"/>
            <w:noWrap w:val="0"/>
            <w:vAlign w:val="center"/>
          </w:tcPr>
          <w:p w14:paraId="4EE4B756">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3C67D3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8" w:hRule="atLeast"/>
          <w:jc w:val="center"/>
        </w:trPr>
        <w:tc>
          <w:tcPr>
            <w:tcW w:w="816" w:type="dxa"/>
            <w:noWrap w:val="0"/>
            <w:vAlign w:val="center"/>
          </w:tcPr>
          <w:p w14:paraId="446660B9">
            <w:pPr>
              <w:keepNext w:val="0"/>
              <w:keepLines w:val="0"/>
              <w:suppressLineNumbers w:val="0"/>
              <w:spacing w:before="0" w:beforeAutospacing="0" w:after="0" w:afterAutospacing="0"/>
              <w:ind w:left="0" w:right="0"/>
              <w:contextualSpacing/>
              <w:jc w:val="center"/>
              <w:rPr>
                <w:rFonts w:hint="default"/>
                <w:kern w:val="2"/>
                <w:sz w:val="21"/>
                <w:szCs w:val="21"/>
                <w:lang w:val="en-US" w:eastAsia="zh-CN" w:bidi="ar-SA"/>
              </w:rPr>
            </w:pPr>
            <w:r>
              <w:rPr>
                <w:rFonts w:hint="default"/>
                <w:sz w:val="21"/>
                <w:szCs w:val="21"/>
              </w:rPr>
              <w:t>3</w:t>
            </w:r>
          </w:p>
        </w:tc>
        <w:tc>
          <w:tcPr>
            <w:tcW w:w="1608" w:type="dxa"/>
            <w:noWrap w:val="0"/>
            <w:vAlign w:val="center"/>
          </w:tcPr>
          <w:p w14:paraId="121A8DDD">
            <w:pPr>
              <w:keepNext w:val="0"/>
              <w:keepLines w:val="0"/>
              <w:suppressLineNumbers w:val="0"/>
              <w:snapToGrid w:val="0"/>
              <w:spacing w:before="0" w:beforeAutospacing="0" w:after="0" w:afterAutospacing="0" w:line="360" w:lineRule="auto"/>
              <w:ind w:left="0" w:right="0"/>
              <w:jc w:val="center"/>
              <w:rPr>
                <w:rFonts w:hint="default" w:eastAsia="宋体"/>
                <w:bCs/>
                <w:sz w:val="21"/>
                <w:szCs w:val="21"/>
                <w:lang w:val="en-US" w:eastAsia="zh-CN"/>
              </w:rPr>
            </w:pPr>
            <w:r>
              <w:rPr>
                <w:rFonts w:hint="eastAsia" w:cs="Times New Roman"/>
                <w:sz w:val="21"/>
                <w:szCs w:val="21"/>
                <w:lang w:val="en-US" w:eastAsia="zh-CN"/>
              </w:rPr>
              <w:t xml:space="preserve">7.5.2 </w:t>
            </w:r>
          </w:p>
        </w:tc>
        <w:tc>
          <w:tcPr>
            <w:tcW w:w="7409" w:type="dxa"/>
            <w:noWrap w:val="0"/>
            <w:vAlign w:val="center"/>
          </w:tcPr>
          <w:p w14:paraId="6557347D">
            <w:pPr>
              <w:pStyle w:val="19"/>
              <w:rPr>
                <w:rFonts w:hint="default" w:ascii="Times New Roman" w:hAnsi="Times New Roman" w:eastAsia="宋体" w:cs="Times New Roman"/>
                <w:sz w:val="21"/>
                <w:szCs w:val="21"/>
                <w:lang w:val="en-US" w:eastAsia="zh-CN"/>
              </w:rPr>
            </w:pPr>
            <w:r>
              <w:rPr>
                <w:rFonts w:hint="eastAsia" w:cs="Times New Roman"/>
                <w:sz w:val="21"/>
                <w:szCs w:val="21"/>
                <w:lang w:val="en-US" w:eastAsia="zh-CN"/>
              </w:rPr>
              <w:t>建议修改为“</w:t>
            </w:r>
            <w:r>
              <w:rPr>
                <w:rFonts w:ascii="Times New Roman"/>
              </w:rPr>
              <w:t>培养料配制完成后，应及时装袋灭菌。栽培筒袋一般采用折角规格为15</w:t>
            </w:r>
            <w:r>
              <w:rPr>
                <w:rFonts w:hint="eastAsia" w:ascii="Times New Roman"/>
              </w:rPr>
              <w:t xml:space="preserve"> </w:t>
            </w:r>
            <w:r>
              <w:rPr>
                <w:rFonts w:ascii="Times New Roman"/>
              </w:rPr>
              <w:t>cm</w:t>
            </w:r>
            <w:r>
              <w:rPr>
                <w:rFonts w:hint="eastAsia" w:ascii="Times New Roman"/>
                <w:lang w:val="en-US" w:eastAsia="zh-CN"/>
              </w:rPr>
              <w:t>~18 cm</w:t>
            </w:r>
            <w:r>
              <w:rPr>
                <w:rFonts w:hint="eastAsia" w:ascii="Times New Roman"/>
              </w:rPr>
              <w:t xml:space="preserve"> </w:t>
            </w:r>
            <w:r>
              <w:rPr>
                <w:rFonts w:ascii="Times New Roman"/>
              </w:rPr>
              <w:t>×</w:t>
            </w:r>
            <w:r>
              <w:rPr>
                <w:rFonts w:hint="eastAsia" w:ascii="Times New Roman"/>
              </w:rPr>
              <w:t xml:space="preserve"> </w:t>
            </w:r>
            <w:r>
              <w:rPr>
                <w:rFonts w:ascii="Times New Roman"/>
              </w:rPr>
              <w:t>52</w:t>
            </w:r>
            <w:r>
              <w:rPr>
                <w:rFonts w:hint="eastAsia" w:ascii="Times New Roman"/>
              </w:rPr>
              <w:t xml:space="preserve"> </w:t>
            </w:r>
            <w:r>
              <w:rPr>
                <w:rFonts w:ascii="Times New Roman"/>
              </w:rPr>
              <w:t>cm</w:t>
            </w:r>
            <w:r>
              <w:rPr>
                <w:rFonts w:hint="eastAsia" w:ascii="Times New Roman"/>
              </w:rPr>
              <w:t>～</w:t>
            </w:r>
            <w:r>
              <w:rPr>
                <w:rFonts w:hint="eastAsia" w:ascii="Times New Roman"/>
                <w:lang w:val="en-US" w:eastAsia="zh-CN"/>
              </w:rPr>
              <w:t>65</w:t>
            </w:r>
            <w:r>
              <w:rPr>
                <w:rFonts w:hint="eastAsia" w:ascii="Times New Roman"/>
              </w:rPr>
              <w:t xml:space="preserve"> </w:t>
            </w:r>
            <w:r>
              <w:rPr>
                <w:rFonts w:ascii="Times New Roman"/>
              </w:rPr>
              <w:t>cm</w:t>
            </w:r>
            <w:r>
              <w:rPr>
                <w:rFonts w:hint="eastAsia" w:ascii="Times New Roman"/>
              </w:rPr>
              <w:t xml:space="preserve"> </w:t>
            </w:r>
            <w:r>
              <w:rPr>
                <w:rFonts w:ascii="Times New Roman"/>
              </w:rPr>
              <w:t>×</w:t>
            </w:r>
            <w:r>
              <w:rPr>
                <w:rFonts w:hint="eastAsia" w:ascii="Times New Roman"/>
              </w:rPr>
              <w:t xml:space="preserve"> </w:t>
            </w:r>
            <w:r>
              <w:rPr>
                <w:rFonts w:ascii="Times New Roman"/>
              </w:rPr>
              <w:t>0</w:t>
            </w:r>
            <w:r>
              <w:rPr>
                <w:rFonts w:hint="eastAsia" w:ascii="Times New Roman"/>
              </w:rPr>
              <w:t>.</w:t>
            </w:r>
            <w:r>
              <w:rPr>
                <w:rFonts w:ascii="Times New Roman"/>
              </w:rPr>
              <w:t>005</w:t>
            </w:r>
            <w:r>
              <w:rPr>
                <w:rFonts w:hint="eastAsia" w:ascii="Times New Roman"/>
              </w:rPr>
              <w:t xml:space="preserve"> </w:t>
            </w:r>
            <w:r>
              <w:rPr>
                <w:rFonts w:ascii="Times New Roman"/>
              </w:rPr>
              <w:t>cm的聚乙烯筒袋，</w:t>
            </w:r>
            <w:r>
              <w:rPr>
                <w:rFonts w:hint="eastAsia" w:ascii="Times New Roman"/>
                <w:lang w:eastAsia="zh-CN"/>
              </w:rPr>
              <w:t>春播用大袋，秋播用小袋。</w:t>
            </w:r>
            <w:r>
              <w:rPr>
                <w:rFonts w:ascii="Times New Roman"/>
              </w:rPr>
              <w:t>每袋装干料0</w:t>
            </w:r>
            <w:r>
              <w:rPr>
                <w:rFonts w:hint="eastAsia" w:ascii="Times New Roman"/>
              </w:rPr>
              <w:t>.</w:t>
            </w:r>
            <w:r>
              <w:rPr>
                <w:rFonts w:ascii="Times New Roman"/>
              </w:rPr>
              <w:t>85</w:t>
            </w:r>
            <w:r>
              <w:rPr>
                <w:rFonts w:hint="eastAsia" w:ascii="Times New Roman"/>
              </w:rPr>
              <w:t xml:space="preserve"> </w:t>
            </w:r>
            <w:r>
              <w:rPr>
                <w:rFonts w:ascii="Times New Roman"/>
              </w:rPr>
              <w:t>kg</w:t>
            </w:r>
            <w:r>
              <w:rPr>
                <w:rFonts w:hint="eastAsia" w:ascii="Times New Roman"/>
              </w:rPr>
              <w:t>～</w:t>
            </w:r>
            <w:r>
              <w:rPr>
                <w:rFonts w:ascii="Times New Roman"/>
              </w:rPr>
              <w:t>1</w:t>
            </w:r>
            <w:r>
              <w:rPr>
                <w:rFonts w:hint="eastAsia" w:ascii="Times New Roman"/>
              </w:rPr>
              <w:t>.</w:t>
            </w:r>
            <w:r>
              <w:rPr>
                <w:rFonts w:hint="eastAsia" w:ascii="Times New Roman"/>
                <w:lang w:val="en-US" w:eastAsia="zh-CN"/>
              </w:rPr>
              <w:t>5</w:t>
            </w:r>
            <w:r>
              <w:rPr>
                <w:rFonts w:hint="eastAsia" w:ascii="Times New Roman"/>
              </w:rPr>
              <w:t xml:space="preserve"> </w:t>
            </w:r>
            <w:r>
              <w:rPr>
                <w:rFonts w:ascii="Times New Roman"/>
              </w:rPr>
              <w:t>kg，加水后湿料为1</w:t>
            </w:r>
            <w:r>
              <w:rPr>
                <w:rFonts w:hint="eastAsia" w:ascii="Times New Roman"/>
              </w:rPr>
              <w:t>.</w:t>
            </w:r>
            <w:r>
              <w:rPr>
                <w:rFonts w:ascii="Times New Roman"/>
              </w:rPr>
              <w:t>6</w:t>
            </w:r>
            <w:r>
              <w:rPr>
                <w:rFonts w:hint="eastAsia" w:ascii="Times New Roman"/>
              </w:rPr>
              <w:t xml:space="preserve"> </w:t>
            </w:r>
            <w:r>
              <w:rPr>
                <w:rFonts w:ascii="Times New Roman"/>
              </w:rPr>
              <w:t>kg</w:t>
            </w:r>
            <w:r>
              <w:rPr>
                <w:rFonts w:hint="eastAsia" w:ascii="Times New Roman"/>
              </w:rPr>
              <w:t>～</w:t>
            </w:r>
            <w:r>
              <w:rPr>
                <w:rFonts w:hint="eastAsia" w:ascii="Times New Roman"/>
                <w:lang w:val="en-US" w:eastAsia="zh-CN"/>
              </w:rPr>
              <w:t>3.25</w:t>
            </w:r>
            <w:r>
              <w:rPr>
                <w:rFonts w:hint="eastAsia" w:ascii="Times New Roman"/>
              </w:rPr>
              <w:t xml:space="preserve"> </w:t>
            </w:r>
            <w:r>
              <w:rPr>
                <w:rFonts w:ascii="Times New Roman"/>
              </w:rPr>
              <w:t>kg。袋口应清理干净并扎</w:t>
            </w:r>
            <w:r>
              <w:rPr>
                <w:rFonts w:hint="eastAsia" w:ascii="Times New Roman"/>
                <w:lang w:eastAsia="zh-CN"/>
              </w:rPr>
              <w:t>口</w:t>
            </w:r>
            <w:r>
              <w:rPr>
                <w:rFonts w:ascii="Times New Roman"/>
              </w:rPr>
              <w:t>。</w:t>
            </w:r>
            <w:r>
              <w:rPr>
                <w:rFonts w:hint="eastAsia" w:cs="Times New Roman"/>
                <w:sz w:val="21"/>
                <w:szCs w:val="21"/>
                <w:lang w:val="en-US" w:eastAsia="zh-CN"/>
              </w:rPr>
              <w:t>”</w:t>
            </w:r>
          </w:p>
        </w:tc>
        <w:tc>
          <w:tcPr>
            <w:tcW w:w="2182" w:type="dxa"/>
            <w:noWrap w:val="0"/>
            <w:vAlign w:val="center"/>
          </w:tcPr>
          <w:p w14:paraId="1F101444">
            <w:pPr>
              <w:keepNext w:val="0"/>
              <w:keepLines w:val="0"/>
              <w:suppressLineNumbers w:val="0"/>
              <w:snapToGrid w:val="0"/>
              <w:spacing w:before="0" w:beforeAutospacing="0" w:after="0" w:afterAutospacing="0" w:line="360" w:lineRule="auto"/>
              <w:ind w:left="0" w:leftChars="0" w:right="0" w:rightChars="0"/>
              <w:jc w:val="center"/>
              <w:rPr>
                <w:rFonts w:hint="default"/>
                <w:kern w:val="2"/>
                <w:sz w:val="21"/>
                <w:szCs w:val="21"/>
                <w:lang w:val="en-US" w:eastAsia="zh-CN" w:bidi="ar-SA"/>
              </w:rPr>
            </w:pPr>
            <w:r>
              <w:rPr>
                <w:rFonts w:hint="default"/>
                <w:kern w:val="2"/>
                <w:sz w:val="21"/>
                <w:szCs w:val="21"/>
                <w:lang w:val="en-US" w:eastAsia="zh-CN" w:bidi="ar-SA"/>
              </w:rPr>
              <w:t>万荣县农副产品加工发展服务中心</w:t>
            </w:r>
          </w:p>
        </w:tc>
        <w:tc>
          <w:tcPr>
            <w:tcW w:w="1220" w:type="dxa"/>
            <w:noWrap w:val="0"/>
            <w:vAlign w:val="center"/>
          </w:tcPr>
          <w:p w14:paraId="2BDFB65D">
            <w:pPr>
              <w:keepNext w:val="0"/>
              <w:keepLines w:val="0"/>
              <w:suppressLineNumbers w:val="0"/>
              <w:snapToGrid w:val="0"/>
              <w:spacing w:before="0" w:beforeAutospacing="0" w:after="0" w:afterAutospacing="0" w:line="360" w:lineRule="auto"/>
              <w:ind w:left="0" w:right="0"/>
              <w:jc w:val="center"/>
              <w:rPr>
                <w:rFonts w:hint="eastAsia" w:eastAsia="宋体"/>
                <w:sz w:val="21"/>
                <w:szCs w:val="21"/>
                <w:lang w:eastAsia="zh-CN"/>
              </w:rPr>
            </w:pPr>
            <w:r>
              <w:rPr>
                <w:rFonts w:hint="eastAsia"/>
                <w:sz w:val="21"/>
                <w:szCs w:val="21"/>
                <w:lang w:eastAsia="zh-CN"/>
              </w:rPr>
              <w:t>采纳</w:t>
            </w:r>
          </w:p>
        </w:tc>
        <w:tc>
          <w:tcPr>
            <w:tcW w:w="1080" w:type="dxa"/>
            <w:noWrap w:val="0"/>
            <w:vAlign w:val="center"/>
          </w:tcPr>
          <w:p w14:paraId="31CEF6CF">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56069B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4" w:hRule="atLeast"/>
          <w:jc w:val="center"/>
        </w:trPr>
        <w:tc>
          <w:tcPr>
            <w:tcW w:w="816" w:type="dxa"/>
            <w:noWrap w:val="0"/>
            <w:vAlign w:val="center"/>
          </w:tcPr>
          <w:p w14:paraId="0EB155A8">
            <w:pPr>
              <w:keepNext w:val="0"/>
              <w:keepLines w:val="0"/>
              <w:suppressLineNumbers w:val="0"/>
              <w:spacing w:before="0" w:beforeAutospacing="0" w:after="0" w:afterAutospacing="0"/>
              <w:ind w:left="0" w:right="0"/>
              <w:contextualSpacing/>
              <w:jc w:val="center"/>
              <w:rPr>
                <w:rFonts w:hint="default"/>
                <w:kern w:val="2"/>
                <w:sz w:val="21"/>
                <w:szCs w:val="21"/>
                <w:lang w:val="en-US" w:eastAsia="zh-CN" w:bidi="ar-SA"/>
              </w:rPr>
            </w:pPr>
            <w:r>
              <w:rPr>
                <w:rFonts w:hint="eastAsia"/>
                <w:sz w:val="21"/>
                <w:szCs w:val="21"/>
              </w:rPr>
              <w:t>4</w:t>
            </w:r>
          </w:p>
        </w:tc>
        <w:tc>
          <w:tcPr>
            <w:tcW w:w="1608" w:type="dxa"/>
            <w:noWrap w:val="0"/>
            <w:vAlign w:val="center"/>
          </w:tcPr>
          <w:p w14:paraId="5D815FC1">
            <w:pPr>
              <w:keepNext w:val="0"/>
              <w:keepLines w:val="0"/>
              <w:suppressLineNumbers w:val="0"/>
              <w:snapToGrid w:val="0"/>
              <w:spacing w:before="0" w:beforeAutospacing="0" w:after="0" w:afterAutospacing="0" w:line="360" w:lineRule="auto"/>
              <w:ind w:left="0" w:right="0"/>
              <w:jc w:val="center"/>
              <w:rPr>
                <w:rFonts w:hint="default" w:eastAsia="宋体"/>
                <w:bCs/>
                <w:sz w:val="21"/>
                <w:szCs w:val="21"/>
                <w:lang w:val="en-US" w:eastAsia="zh-CN"/>
              </w:rPr>
            </w:pPr>
            <w:r>
              <w:rPr>
                <w:rFonts w:hint="eastAsia" w:cs="Times New Roman"/>
                <w:sz w:val="21"/>
                <w:szCs w:val="21"/>
                <w:lang w:val="en-US" w:eastAsia="zh-CN"/>
              </w:rPr>
              <w:t>7.5.1</w:t>
            </w:r>
          </w:p>
        </w:tc>
        <w:tc>
          <w:tcPr>
            <w:tcW w:w="7409" w:type="dxa"/>
            <w:noWrap w:val="0"/>
            <w:vAlign w:val="center"/>
          </w:tcPr>
          <w:p w14:paraId="6A3299D6">
            <w:pPr>
              <w:keepNext w:val="0"/>
              <w:keepLines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cs="Times New Roman"/>
                <w:kern w:val="2"/>
                <w:sz w:val="21"/>
                <w:szCs w:val="21"/>
                <w:lang w:val="en-US" w:eastAsia="zh-CN" w:bidi="ar-SA"/>
              </w:rPr>
              <w:t>建议修改“</w:t>
            </w:r>
            <w:r>
              <w:rPr>
                <w:rFonts w:hint="eastAsia" w:ascii="Times New Roman"/>
              </w:rPr>
              <w:t>p</w:t>
            </w:r>
            <w:r>
              <w:rPr>
                <w:rFonts w:ascii="Times New Roman"/>
              </w:rPr>
              <w:t>H</w:t>
            </w:r>
            <w:r>
              <w:rPr>
                <w:rFonts w:hint="eastAsia" w:ascii="Times New Roman"/>
              </w:rPr>
              <w:t xml:space="preserve"> </w:t>
            </w:r>
            <w:r>
              <w:rPr>
                <w:rFonts w:hint="eastAsia"/>
                <w:lang w:eastAsia="zh-CN"/>
              </w:rPr>
              <w:t>值为</w:t>
            </w:r>
            <w:r>
              <w:rPr>
                <w:rFonts w:ascii="Times New Roman"/>
              </w:rPr>
              <w:t>6</w:t>
            </w:r>
            <w:r>
              <w:rPr>
                <w:rFonts w:hint="eastAsia" w:ascii="Times New Roman"/>
              </w:rPr>
              <w:t>.</w:t>
            </w:r>
            <w:r>
              <w:rPr>
                <w:rFonts w:ascii="Times New Roman"/>
              </w:rPr>
              <w:t>5</w:t>
            </w:r>
            <w:r>
              <w:rPr>
                <w:rFonts w:hint="eastAsia" w:ascii="Times New Roman"/>
              </w:rPr>
              <w:t>～</w:t>
            </w:r>
            <w:r>
              <w:rPr>
                <w:rFonts w:ascii="Times New Roman"/>
              </w:rPr>
              <w:t>7</w:t>
            </w:r>
            <w:r>
              <w:rPr>
                <w:rFonts w:hint="eastAsia" w:ascii="Times New Roman"/>
              </w:rPr>
              <w:t>.</w:t>
            </w:r>
            <w:r>
              <w:rPr>
                <w:rFonts w:hint="eastAsia"/>
                <w:lang w:val="en-US" w:eastAsia="zh-CN"/>
              </w:rPr>
              <w:t>5</w:t>
            </w:r>
            <w:r>
              <w:rPr>
                <w:rFonts w:hint="eastAsia" w:cs="Times New Roman"/>
                <w:kern w:val="2"/>
                <w:sz w:val="21"/>
                <w:szCs w:val="21"/>
                <w:lang w:val="en-US" w:eastAsia="zh-CN" w:bidi="ar-SA"/>
              </w:rPr>
              <w:t>”</w:t>
            </w:r>
          </w:p>
        </w:tc>
        <w:tc>
          <w:tcPr>
            <w:tcW w:w="2182" w:type="dxa"/>
            <w:noWrap w:val="0"/>
            <w:vAlign w:val="center"/>
          </w:tcPr>
          <w:p w14:paraId="14F8C1B5">
            <w:pPr>
              <w:keepNext w:val="0"/>
              <w:keepLines w:val="0"/>
              <w:suppressLineNumbers w:val="0"/>
              <w:snapToGrid w:val="0"/>
              <w:spacing w:before="0" w:beforeAutospacing="0" w:after="0" w:afterAutospacing="0" w:line="360" w:lineRule="auto"/>
              <w:ind w:left="0" w:leftChars="0" w:right="0" w:rightChars="0"/>
              <w:jc w:val="center"/>
              <w:rPr>
                <w:rFonts w:hint="default"/>
                <w:kern w:val="2"/>
                <w:sz w:val="21"/>
                <w:szCs w:val="21"/>
                <w:lang w:val="en-US" w:eastAsia="zh-CN" w:bidi="ar-SA"/>
              </w:rPr>
            </w:pPr>
            <w:r>
              <w:rPr>
                <w:rFonts w:hint="default"/>
                <w:kern w:val="2"/>
                <w:sz w:val="21"/>
                <w:szCs w:val="21"/>
                <w:lang w:val="en-US" w:eastAsia="zh-CN" w:bidi="ar-SA"/>
              </w:rPr>
              <w:t>昔阳县食用菌协会</w:t>
            </w:r>
          </w:p>
        </w:tc>
        <w:tc>
          <w:tcPr>
            <w:tcW w:w="1220" w:type="dxa"/>
            <w:noWrap w:val="0"/>
            <w:vAlign w:val="center"/>
          </w:tcPr>
          <w:p w14:paraId="6CC6D99A">
            <w:pPr>
              <w:keepNext w:val="0"/>
              <w:keepLines w:val="0"/>
              <w:suppressLineNumbers w:val="0"/>
              <w:snapToGrid w:val="0"/>
              <w:spacing w:before="0" w:beforeAutospacing="0" w:after="0" w:afterAutospacing="0" w:line="360" w:lineRule="auto"/>
              <w:ind w:left="0" w:right="0"/>
              <w:jc w:val="center"/>
              <w:rPr>
                <w:rFonts w:hint="default"/>
                <w:sz w:val="21"/>
                <w:szCs w:val="21"/>
              </w:rPr>
            </w:pPr>
            <w:r>
              <w:rPr>
                <w:rFonts w:hint="eastAsia"/>
                <w:sz w:val="21"/>
                <w:szCs w:val="21"/>
                <w:lang w:eastAsia="zh-CN"/>
              </w:rPr>
              <w:t>采纳</w:t>
            </w:r>
          </w:p>
        </w:tc>
        <w:tc>
          <w:tcPr>
            <w:tcW w:w="1080" w:type="dxa"/>
            <w:noWrap w:val="0"/>
            <w:vAlign w:val="center"/>
          </w:tcPr>
          <w:p w14:paraId="1A1991EC">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7CDC62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23" w:hRule="atLeast"/>
          <w:jc w:val="center"/>
        </w:trPr>
        <w:tc>
          <w:tcPr>
            <w:tcW w:w="816" w:type="dxa"/>
            <w:noWrap w:val="0"/>
            <w:vAlign w:val="center"/>
          </w:tcPr>
          <w:p w14:paraId="51C0294F">
            <w:pPr>
              <w:keepNext w:val="0"/>
              <w:keepLines w:val="0"/>
              <w:suppressLineNumbers w:val="0"/>
              <w:spacing w:before="0" w:beforeAutospacing="0" w:after="0" w:afterAutospacing="0"/>
              <w:ind w:left="0" w:right="0"/>
              <w:contextualSpacing/>
              <w:jc w:val="center"/>
              <w:rPr>
                <w:rFonts w:hint="default"/>
                <w:kern w:val="2"/>
                <w:sz w:val="21"/>
                <w:szCs w:val="21"/>
                <w:lang w:val="en-US" w:eastAsia="zh-CN" w:bidi="ar-SA"/>
              </w:rPr>
            </w:pPr>
            <w:r>
              <w:rPr>
                <w:rFonts w:hint="eastAsia"/>
                <w:sz w:val="21"/>
                <w:szCs w:val="21"/>
              </w:rPr>
              <w:t>5</w:t>
            </w:r>
          </w:p>
        </w:tc>
        <w:tc>
          <w:tcPr>
            <w:tcW w:w="1608" w:type="dxa"/>
            <w:noWrap w:val="0"/>
            <w:vAlign w:val="center"/>
          </w:tcPr>
          <w:p w14:paraId="162A9A1C">
            <w:pPr>
              <w:keepNext w:val="0"/>
              <w:keepLines w:val="0"/>
              <w:suppressLineNumbers w:val="0"/>
              <w:snapToGrid w:val="0"/>
              <w:spacing w:before="0" w:beforeAutospacing="0" w:after="0" w:afterAutospacing="0" w:line="360" w:lineRule="auto"/>
              <w:ind w:left="0" w:right="0"/>
              <w:jc w:val="center"/>
              <w:rPr>
                <w:rFonts w:hint="default" w:eastAsia="宋体"/>
                <w:bCs/>
                <w:kern w:val="2"/>
                <w:sz w:val="21"/>
                <w:szCs w:val="21"/>
                <w:lang w:val="en-US" w:eastAsia="zh-CN" w:bidi="ar-SA"/>
              </w:rPr>
            </w:pPr>
            <w:r>
              <w:rPr>
                <w:rFonts w:hint="eastAsia" w:cs="Times New Roman"/>
                <w:kern w:val="2"/>
                <w:sz w:val="21"/>
                <w:szCs w:val="21"/>
                <w:lang w:val="en-US" w:eastAsia="zh-CN" w:bidi="ar-SA"/>
              </w:rPr>
              <w:t>7.9</w:t>
            </w:r>
          </w:p>
        </w:tc>
        <w:tc>
          <w:tcPr>
            <w:tcW w:w="7409" w:type="dxa"/>
            <w:noWrap w:val="0"/>
            <w:vAlign w:val="center"/>
          </w:tcPr>
          <w:p w14:paraId="6AB35433">
            <w:pPr>
              <w:keepNext w:val="0"/>
              <w:keepLines w:val="0"/>
              <w:suppressLineNumbers w:val="0"/>
              <w:snapToGrid w:val="0"/>
              <w:spacing w:before="0" w:beforeAutospacing="0" w:after="0" w:afterAutospacing="0" w:line="360" w:lineRule="auto"/>
              <w:ind w:left="0" w:right="0"/>
              <w:jc w:val="center"/>
              <w:rPr>
                <w:rFonts w:hint="default" w:ascii="Times New Roman" w:hAnsi="Times New Roman" w:eastAsia="宋体" w:cs="Times New Roman"/>
                <w:sz w:val="21"/>
                <w:szCs w:val="21"/>
                <w:lang w:val="en-US" w:eastAsia="zh-CN"/>
              </w:rPr>
            </w:pPr>
            <w:r>
              <w:rPr>
                <w:rFonts w:hint="eastAsia" w:cs="Times New Roman"/>
                <w:kern w:val="2"/>
                <w:sz w:val="21"/>
                <w:szCs w:val="21"/>
                <w:lang w:val="en-US" w:eastAsia="zh-CN" w:bidi="ar-SA"/>
              </w:rPr>
              <w:t>建议修改“停水5</w:t>
            </w:r>
            <w:r>
              <w:rPr>
                <w:rFonts w:hint="eastAsia" w:ascii="Times New Roman"/>
              </w:rPr>
              <w:t>～</w:t>
            </w:r>
            <w:r>
              <w:rPr>
                <w:rFonts w:hint="eastAsia" w:cs="Times New Roman"/>
                <w:kern w:val="2"/>
                <w:sz w:val="21"/>
                <w:szCs w:val="21"/>
                <w:lang w:val="en-US" w:eastAsia="zh-CN" w:bidi="ar-SA"/>
              </w:rPr>
              <w:t>10d”</w:t>
            </w:r>
          </w:p>
        </w:tc>
        <w:tc>
          <w:tcPr>
            <w:tcW w:w="2182" w:type="dxa"/>
            <w:noWrap w:val="0"/>
            <w:vAlign w:val="center"/>
          </w:tcPr>
          <w:p w14:paraId="1AF5C487">
            <w:pPr>
              <w:keepNext w:val="0"/>
              <w:keepLines w:val="0"/>
              <w:suppressLineNumbers w:val="0"/>
              <w:snapToGrid w:val="0"/>
              <w:spacing w:before="0" w:beforeAutospacing="0" w:after="0" w:afterAutospacing="0" w:line="360" w:lineRule="auto"/>
              <w:ind w:left="0" w:leftChars="0" w:right="0" w:rightChars="0"/>
              <w:jc w:val="center"/>
              <w:rPr>
                <w:rFonts w:hint="default"/>
                <w:kern w:val="2"/>
                <w:sz w:val="21"/>
                <w:szCs w:val="21"/>
                <w:lang w:val="en-US" w:eastAsia="zh-CN" w:bidi="ar-SA"/>
              </w:rPr>
            </w:pPr>
            <w:r>
              <w:rPr>
                <w:rFonts w:hint="eastAsia"/>
                <w:kern w:val="2"/>
                <w:sz w:val="21"/>
                <w:szCs w:val="21"/>
                <w:lang w:val="en-US" w:eastAsia="zh-CN" w:bidi="ar-SA"/>
              </w:rPr>
              <w:t>晋中市百果农副产品农民专业合作社</w:t>
            </w:r>
          </w:p>
        </w:tc>
        <w:tc>
          <w:tcPr>
            <w:tcW w:w="1220" w:type="dxa"/>
            <w:noWrap w:val="0"/>
            <w:vAlign w:val="center"/>
          </w:tcPr>
          <w:p w14:paraId="7FB66D1F">
            <w:pPr>
              <w:keepNext w:val="0"/>
              <w:keepLines w:val="0"/>
              <w:suppressLineNumbers w:val="0"/>
              <w:snapToGrid w:val="0"/>
              <w:spacing w:before="0" w:beforeAutospacing="0" w:after="0" w:afterAutospacing="0" w:line="360" w:lineRule="auto"/>
              <w:ind w:left="0" w:leftChars="0" w:right="0" w:rightChars="0"/>
              <w:jc w:val="center"/>
              <w:rPr>
                <w:rFonts w:hint="default"/>
                <w:kern w:val="2"/>
                <w:sz w:val="21"/>
                <w:szCs w:val="21"/>
                <w:lang w:val="en-US" w:eastAsia="zh-CN" w:bidi="ar-SA"/>
              </w:rPr>
            </w:pPr>
            <w:r>
              <w:rPr>
                <w:rFonts w:hint="eastAsia"/>
                <w:kern w:val="2"/>
                <w:sz w:val="21"/>
                <w:szCs w:val="21"/>
                <w:lang w:val="en-US" w:eastAsia="zh-CN" w:bidi="ar-SA"/>
              </w:rPr>
              <w:t>采纳</w:t>
            </w:r>
          </w:p>
        </w:tc>
        <w:tc>
          <w:tcPr>
            <w:tcW w:w="1080" w:type="dxa"/>
            <w:noWrap w:val="0"/>
            <w:vAlign w:val="center"/>
          </w:tcPr>
          <w:p w14:paraId="2CB35331">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70EFBB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45" w:hRule="atLeast"/>
          <w:jc w:val="center"/>
        </w:trPr>
        <w:tc>
          <w:tcPr>
            <w:tcW w:w="816" w:type="dxa"/>
            <w:noWrap w:val="0"/>
            <w:vAlign w:val="center"/>
          </w:tcPr>
          <w:p w14:paraId="73AFCDFB">
            <w:pPr>
              <w:keepNext w:val="0"/>
              <w:keepLines w:val="0"/>
              <w:suppressLineNumbers w:val="0"/>
              <w:spacing w:before="0" w:beforeAutospacing="0" w:after="0" w:afterAutospacing="0"/>
              <w:ind w:left="0" w:right="0"/>
              <w:contextualSpacing/>
              <w:jc w:val="center"/>
              <w:rPr>
                <w:rFonts w:hint="eastAsia" w:eastAsia="宋体"/>
                <w:sz w:val="21"/>
                <w:szCs w:val="21"/>
                <w:lang w:val="en-US" w:eastAsia="zh-CN"/>
              </w:rPr>
            </w:pPr>
            <w:r>
              <w:rPr>
                <w:rFonts w:hint="eastAsia"/>
                <w:sz w:val="21"/>
                <w:szCs w:val="21"/>
                <w:lang w:val="en-US" w:eastAsia="zh-CN"/>
              </w:rPr>
              <w:t>6</w:t>
            </w:r>
          </w:p>
        </w:tc>
        <w:tc>
          <w:tcPr>
            <w:tcW w:w="1608" w:type="dxa"/>
            <w:noWrap w:val="0"/>
            <w:vAlign w:val="center"/>
          </w:tcPr>
          <w:p w14:paraId="3576934E">
            <w:pPr>
              <w:keepNext w:val="0"/>
              <w:keepLines w:val="0"/>
              <w:suppressLineNumbers w:val="0"/>
              <w:snapToGrid w:val="0"/>
              <w:spacing w:before="0" w:beforeAutospacing="0" w:after="0" w:afterAutospacing="0" w:line="360" w:lineRule="auto"/>
              <w:ind w:left="0" w:right="0"/>
              <w:jc w:val="center"/>
              <w:rPr>
                <w:rFonts w:hint="default" w:eastAsia="宋体"/>
                <w:bCs/>
                <w:kern w:val="2"/>
                <w:sz w:val="21"/>
                <w:szCs w:val="21"/>
                <w:lang w:val="en-US" w:eastAsia="zh-CN" w:bidi="ar-SA"/>
              </w:rPr>
            </w:pPr>
            <w:r>
              <w:rPr>
                <w:rFonts w:hint="eastAsia" w:ascii="Times New Roman" w:hAnsi="Times New Roman" w:eastAsia="宋体" w:cs="Times New Roman"/>
                <w:kern w:val="2"/>
                <w:sz w:val="21"/>
                <w:szCs w:val="21"/>
                <w:lang w:val="en-US" w:eastAsia="zh-CN" w:bidi="ar-SA"/>
              </w:rPr>
              <w:t>附录B</w:t>
            </w:r>
          </w:p>
        </w:tc>
        <w:tc>
          <w:tcPr>
            <w:tcW w:w="7409" w:type="dxa"/>
            <w:noWrap w:val="0"/>
            <w:vAlign w:val="center"/>
          </w:tcPr>
          <w:p w14:paraId="205F8913">
            <w:pPr>
              <w:pStyle w:val="32"/>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360" w:lineRule="auto"/>
              <w:ind w:firstLine="315" w:firstLineChars="150"/>
              <w:jc w:val="center"/>
              <w:textAlignment w:val="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kern w:val="2"/>
                <w:sz w:val="21"/>
                <w:szCs w:val="21"/>
                <w:lang w:val="en-US" w:eastAsia="zh-CN" w:bidi="ar-SA"/>
              </w:rPr>
              <w:t>建议修订“</w:t>
            </w:r>
            <w:bookmarkStart w:id="0" w:name="_Toc16106"/>
            <w:r>
              <w:rPr>
                <w:rFonts w:hint="eastAsia" w:ascii="Times New Roman" w:hAnsi="Times New Roman" w:eastAsia="宋体" w:cs="Times New Roman"/>
                <w:kern w:val="2"/>
                <w:sz w:val="21"/>
                <w:szCs w:val="21"/>
                <w:lang w:val="en-US" w:eastAsia="zh-CN" w:bidi="ar-SA"/>
              </w:rPr>
              <w:t>附录B</w:t>
            </w:r>
            <w:bookmarkEnd w:id="0"/>
            <w:bookmarkStart w:id="1" w:name="_Toc7276"/>
            <w:r>
              <w:rPr>
                <w:rFonts w:hint="eastAsia" w:ascii="Times New Roman" w:hAnsi="Times New Roman" w:eastAsia="宋体" w:cs="Times New Roman"/>
                <w:kern w:val="2"/>
                <w:sz w:val="21"/>
                <w:szCs w:val="21"/>
                <w:lang w:val="en-US" w:eastAsia="zh-CN" w:bidi="ar-SA"/>
              </w:rPr>
              <w:t>（规范性附录）</w:t>
            </w:r>
            <w:bookmarkEnd w:id="1"/>
            <w:r>
              <w:rPr>
                <w:rFonts w:hint="eastAsia" w:ascii="Times New Roman" w:hAnsi="Times New Roman" w:eastAsia="宋体" w:cs="Times New Roman"/>
                <w:kern w:val="2"/>
                <w:sz w:val="21"/>
                <w:szCs w:val="21"/>
                <w:lang w:val="en-US" w:eastAsia="zh-CN" w:bidi="ar-SA"/>
              </w:rPr>
              <w:t>香菇生产农药使用指南农药使用指南”</w:t>
            </w:r>
          </w:p>
        </w:tc>
        <w:tc>
          <w:tcPr>
            <w:tcW w:w="2182" w:type="dxa"/>
            <w:noWrap w:val="0"/>
            <w:vAlign w:val="center"/>
          </w:tcPr>
          <w:p w14:paraId="5AD37995">
            <w:pPr>
              <w:keepNext w:val="0"/>
              <w:keepLines w:val="0"/>
              <w:suppressLineNumbers w:val="0"/>
              <w:snapToGrid w:val="0"/>
              <w:spacing w:before="0" w:beforeAutospacing="0" w:after="0" w:afterAutospacing="0" w:line="360" w:lineRule="auto"/>
              <w:ind w:left="0" w:leftChars="0" w:right="0" w:rightChars="0"/>
              <w:jc w:val="center"/>
              <w:rPr>
                <w:rFonts w:hint="eastAsia"/>
                <w:kern w:val="2"/>
                <w:sz w:val="21"/>
                <w:szCs w:val="21"/>
                <w:lang w:val="en-US" w:eastAsia="zh-CN" w:bidi="ar-SA"/>
              </w:rPr>
            </w:pPr>
            <w:r>
              <w:rPr>
                <w:rFonts w:hint="eastAsia"/>
                <w:sz w:val="21"/>
                <w:szCs w:val="21"/>
              </w:rPr>
              <w:t>山西班泽食用菌种植有限公司</w:t>
            </w:r>
          </w:p>
        </w:tc>
        <w:tc>
          <w:tcPr>
            <w:tcW w:w="1220" w:type="dxa"/>
            <w:noWrap w:val="0"/>
            <w:vAlign w:val="center"/>
          </w:tcPr>
          <w:p w14:paraId="56383DAC">
            <w:pPr>
              <w:keepNext w:val="0"/>
              <w:keepLines w:val="0"/>
              <w:suppressLineNumbers w:val="0"/>
              <w:snapToGrid w:val="0"/>
              <w:spacing w:before="0" w:beforeAutospacing="0" w:after="0" w:afterAutospacing="0" w:line="360" w:lineRule="auto"/>
              <w:ind w:left="0" w:leftChars="0" w:right="0" w:rightChars="0"/>
              <w:jc w:val="center"/>
              <w:rPr>
                <w:rFonts w:hint="eastAsia"/>
                <w:sz w:val="21"/>
                <w:szCs w:val="21"/>
                <w:lang w:eastAsia="zh-CN"/>
              </w:rPr>
            </w:pPr>
            <w:r>
              <w:rPr>
                <w:rFonts w:hint="eastAsia"/>
                <w:sz w:val="21"/>
                <w:szCs w:val="21"/>
                <w:lang w:eastAsia="zh-CN"/>
              </w:rPr>
              <w:t>根据国家规定执行</w:t>
            </w:r>
          </w:p>
        </w:tc>
        <w:tc>
          <w:tcPr>
            <w:tcW w:w="1080" w:type="dxa"/>
            <w:noWrap w:val="0"/>
            <w:vAlign w:val="center"/>
          </w:tcPr>
          <w:p w14:paraId="2322A880">
            <w:pPr>
              <w:keepNext w:val="0"/>
              <w:keepLines w:val="0"/>
              <w:suppressLineNumbers w:val="0"/>
              <w:spacing w:before="0" w:beforeAutospacing="0" w:after="0" w:afterAutospacing="0"/>
              <w:ind w:left="0" w:right="0" w:firstLine="420"/>
              <w:contextualSpacing/>
              <w:jc w:val="center"/>
              <w:rPr>
                <w:rFonts w:hint="default"/>
                <w:sz w:val="21"/>
                <w:szCs w:val="21"/>
              </w:rPr>
            </w:pPr>
          </w:p>
        </w:tc>
      </w:tr>
      <w:tr w14:paraId="249E23C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89" w:hRule="atLeast"/>
          <w:jc w:val="center"/>
        </w:trPr>
        <w:tc>
          <w:tcPr>
            <w:tcW w:w="14315" w:type="dxa"/>
            <w:gridSpan w:val="6"/>
            <w:noWrap w:val="0"/>
            <w:vAlign w:val="center"/>
          </w:tcPr>
          <w:p w14:paraId="3128A775">
            <w:pPr>
              <w:keepNext w:val="0"/>
              <w:keepLines w:val="0"/>
              <w:suppressLineNumbers w:val="0"/>
              <w:spacing w:before="160" w:beforeLines="50" w:beforeAutospacing="0" w:after="0" w:afterAutospacing="0"/>
              <w:ind w:left="0" w:right="0"/>
              <w:rPr>
                <w:rFonts w:hint="default"/>
                <w:szCs w:val="21"/>
                <w:lang w:val="en-US" w:eastAsia="zh-CN"/>
              </w:rPr>
            </w:pPr>
            <w:r>
              <w:rPr>
                <w:rFonts w:hint="default"/>
                <w:szCs w:val="21"/>
              </w:rPr>
              <w:t>说明：</w:t>
            </w:r>
            <w:r>
              <w:rPr>
                <w:rFonts w:hint="eastAsia"/>
                <w:szCs w:val="21"/>
                <w:lang w:val="en-US" w:eastAsia="zh-CN"/>
              </w:rPr>
              <w:t>1.针对明确回复无意见的单位，请在“意见内容”中注明无意见，在“提出单位”中列出无意见单位的名称。</w:t>
            </w:r>
          </w:p>
          <w:p w14:paraId="34E00E9E">
            <w:pPr>
              <w:keepNext w:val="0"/>
              <w:keepLines w:val="0"/>
              <w:suppressLineNumbers w:val="0"/>
              <w:spacing w:before="160" w:beforeLines="50" w:beforeAutospacing="0" w:after="0" w:afterAutospacing="0"/>
              <w:ind w:left="0" w:right="0" w:firstLine="630" w:firstLineChars="300"/>
              <w:rPr>
                <w:rFonts w:hint="default" w:eastAsia="宋体"/>
                <w:szCs w:val="21"/>
                <w:lang w:val="en-US" w:eastAsia="zh-CN"/>
              </w:rPr>
            </w:pPr>
            <w:r>
              <w:rPr>
                <w:rFonts w:hint="eastAsia"/>
                <w:szCs w:val="21"/>
                <w:lang w:val="en-US" w:eastAsia="zh-CN"/>
              </w:rPr>
              <w:t>2.</w:t>
            </w:r>
            <w:r>
              <w:rPr>
                <w:rFonts w:hint="default"/>
                <w:szCs w:val="21"/>
              </w:rPr>
              <w:t>发送征求意见稿</w:t>
            </w:r>
            <w:r>
              <w:rPr>
                <w:rFonts w:hint="eastAsia"/>
                <w:szCs w:val="21"/>
                <w:lang w:val="en-US" w:eastAsia="zh-CN"/>
              </w:rPr>
              <w:t>单位数6</w:t>
            </w:r>
            <w:r>
              <w:rPr>
                <w:rFonts w:hint="default"/>
                <w:szCs w:val="21"/>
              </w:rPr>
              <w:t>个；</w:t>
            </w:r>
            <w:r>
              <w:rPr>
                <w:rFonts w:hint="eastAsia"/>
                <w:szCs w:val="21"/>
                <w:lang w:val="en-US" w:eastAsia="zh-CN"/>
              </w:rPr>
              <w:t>回到征求意见稿回函的单位6个，收到征求意见稿并提出意见的单位数6</w:t>
            </w:r>
            <w:r>
              <w:rPr>
                <w:rFonts w:hint="default"/>
                <w:szCs w:val="21"/>
              </w:rPr>
              <w:t>个；</w:t>
            </w:r>
            <w:r>
              <w:rPr>
                <w:rFonts w:hint="eastAsia"/>
                <w:szCs w:val="21"/>
                <w:lang w:val="en-US" w:eastAsia="zh-CN"/>
              </w:rPr>
              <w:t>没有回函的单位数0个；共收到6条意见，采纳4条意见，部分采纳1条意见，未采纳1条意见。</w:t>
            </w:r>
          </w:p>
          <w:p w14:paraId="49B52788">
            <w:pPr>
              <w:keepNext w:val="0"/>
              <w:keepLines w:val="0"/>
              <w:suppressLineNumbers w:val="0"/>
              <w:spacing w:before="0" w:beforeAutospacing="0" w:after="0" w:afterAutospacing="0"/>
              <w:ind w:left="0" w:right="0" w:firstLine="420"/>
              <w:contextualSpacing/>
              <w:jc w:val="center"/>
              <w:rPr>
                <w:rFonts w:hint="default"/>
                <w:sz w:val="21"/>
                <w:szCs w:val="21"/>
              </w:rPr>
            </w:pPr>
          </w:p>
        </w:tc>
      </w:tr>
    </w:tbl>
    <w:p w14:paraId="176EFCAA">
      <w:pPr>
        <w:rPr>
          <w:rFonts w:hint="default" w:ascii="仿宋_GB2312" w:hAnsi="宋体" w:eastAsia="仿宋_GB2312"/>
          <w:color w:val="0000FF"/>
          <w:sz w:val="24"/>
          <w:lang w:val="en-US" w:eastAsia="zh-CN"/>
        </w:rPr>
      </w:pPr>
    </w:p>
    <w:sectPr>
      <w:pgSz w:w="16838" w:h="11906" w:orient="landscape"/>
      <w:pgMar w:top="1803" w:right="1440" w:bottom="1803" w:left="1440" w:header="851" w:footer="992" w:gutter="0"/>
      <w:pgNumType w:start="1"/>
      <w:cols w:space="0" w:num="1"/>
      <w:titlePg/>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1"/>
    <w:family w:val="roman"/>
    <w:pitch w:val="default"/>
    <w:sig w:usb0="00008003"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7841F">
    <w:pPr>
      <w:pStyle w:val="8"/>
      <w:jc w:val="center"/>
    </w:pPr>
    <w:r>
      <w:fldChar w:fldCharType="begin"/>
    </w:r>
    <w:r>
      <w:instrText xml:space="preserve">PAGE   \* MERGEFORMAT</w:instrText>
    </w:r>
    <w:r>
      <w:fldChar w:fldCharType="separate"/>
    </w:r>
    <w:r>
      <w:rPr>
        <w:lang w:val="zh-CN"/>
      </w:rPr>
      <w:t>2</w:t>
    </w:r>
    <w:r>
      <w:fldChar w:fldCharType="end"/>
    </w:r>
  </w:p>
  <w:p w14:paraId="0559D96B">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30D03"/>
    <w:multiLevelType w:val="singleLevel"/>
    <w:tmpl w:val="EEB30D03"/>
    <w:lvl w:ilvl="0" w:tentative="0">
      <w:start w:val="6"/>
      <w:numFmt w:val="decimal"/>
      <w:suff w:val="nothing"/>
      <w:lvlText w:val="%1、"/>
      <w:lvlJc w:val="left"/>
    </w:lvl>
  </w:abstractNum>
  <w:abstractNum w:abstractNumId="1">
    <w:nsid w:val="1FC91163"/>
    <w:multiLevelType w:val="multilevel"/>
    <w:tmpl w:val="1FC91163"/>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HorizontalSpacing w:val="105"/>
  <w:drawingGridVerticalSpacing w:val="159"/>
  <w:displayHorizontalDrawingGridEvery w:val="1"/>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NDc0NTIwYjE0ZGQwMmNkYWZjNjVhMmVkMTUyYTE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79BD"/>
    <w:rsid w:val="00FC754C"/>
    <w:rsid w:val="00FD0304"/>
    <w:rsid w:val="00FD3CE4"/>
    <w:rsid w:val="00FD684B"/>
    <w:rsid w:val="01042CD0"/>
    <w:rsid w:val="0295277A"/>
    <w:rsid w:val="05AB7DED"/>
    <w:rsid w:val="05E51322"/>
    <w:rsid w:val="08D833C0"/>
    <w:rsid w:val="0ED7095E"/>
    <w:rsid w:val="14E57A5C"/>
    <w:rsid w:val="162C5A71"/>
    <w:rsid w:val="17231CAA"/>
    <w:rsid w:val="181E3EC5"/>
    <w:rsid w:val="18200232"/>
    <w:rsid w:val="18660663"/>
    <w:rsid w:val="1890423A"/>
    <w:rsid w:val="1E3D2979"/>
    <w:rsid w:val="22F95FB5"/>
    <w:rsid w:val="298567F4"/>
    <w:rsid w:val="2B8C732F"/>
    <w:rsid w:val="2CDB7071"/>
    <w:rsid w:val="2FD162F0"/>
    <w:rsid w:val="32EE71B8"/>
    <w:rsid w:val="3D25D500"/>
    <w:rsid w:val="3EEF98DD"/>
    <w:rsid w:val="3F9FD22F"/>
    <w:rsid w:val="3FEB51AC"/>
    <w:rsid w:val="40ED0AAF"/>
    <w:rsid w:val="43A318F9"/>
    <w:rsid w:val="44250560"/>
    <w:rsid w:val="442F5758"/>
    <w:rsid w:val="44686AF2"/>
    <w:rsid w:val="470749E1"/>
    <w:rsid w:val="48A85A53"/>
    <w:rsid w:val="493B4D12"/>
    <w:rsid w:val="49F14AC9"/>
    <w:rsid w:val="4DD0778F"/>
    <w:rsid w:val="4ED9178B"/>
    <w:rsid w:val="4F043B94"/>
    <w:rsid w:val="4F7B247E"/>
    <w:rsid w:val="51A04E60"/>
    <w:rsid w:val="522308AA"/>
    <w:rsid w:val="56495EF2"/>
    <w:rsid w:val="57D94567"/>
    <w:rsid w:val="5CAC586B"/>
    <w:rsid w:val="5CFF1606"/>
    <w:rsid w:val="5DFFCE9C"/>
    <w:rsid w:val="5FB81DCD"/>
    <w:rsid w:val="613631AA"/>
    <w:rsid w:val="61893E55"/>
    <w:rsid w:val="63BD8BA4"/>
    <w:rsid w:val="63F518A5"/>
    <w:rsid w:val="685B4A11"/>
    <w:rsid w:val="689E075E"/>
    <w:rsid w:val="69302861"/>
    <w:rsid w:val="6ADA17F5"/>
    <w:rsid w:val="6BF10E46"/>
    <w:rsid w:val="6BFEE3C0"/>
    <w:rsid w:val="6BFF0146"/>
    <w:rsid w:val="6D13424D"/>
    <w:rsid w:val="6D794F7D"/>
    <w:rsid w:val="6DA2484C"/>
    <w:rsid w:val="6EFD90F7"/>
    <w:rsid w:val="707214EF"/>
    <w:rsid w:val="72120ECA"/>
    <w:rsid w:val="72DE18B7"/>
    <w:rsid w:val="7329008F"/>
    <w:rsid w:val="73373C88"/>
    <w:rsid w:val="77C6AB6B"/>
    <w:rsid w:val="77F275E8"/>
    <w:rsid w:val="77FF4F98"/>
    <w:rsid w:val="79FF0142"/>
    <w:rsid w:val="7B8C2698"/>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autoRedefine/>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99"/>
    <w:pPr>
      <w:suppressLineNumbers/>
      <w:suppressAutoHyphens/>
      <w:spacing w:before="120" w:after="120"/>
    </w:pPr>
    <w:rPr>
      <w:rFonts w:cs="Mangal"/>
      <w:i/>
      <w:iCs/>
      <w:kern w:val="21"/>
      <w:sz w:val="24"/>
      <w:lang w:eastAsia="ar-SA"/>
    </w:rPr>
  </w:style>
  <w:style w:type="paragraph" w:styleId="5">
    <w:name w:val="Body Text"/>
    <w:basedOn w:val="1"/>
    <w:link w:val="27"/>
    <w:autoRedefine/>
    <w:qFormat/>
    <w:uiPriority w:val="0"/>
    <w:pPr>
      <w:spacing w:after="120"/>
    </w:pPr>
  </w:style>
  <w:style w:type="paragraph" w:styleId="6">
    <w:name w:val="Date"/>
    <w:basedOn w:val="1"/>
    <w:next w:val="1"/>
    <w:link w:val="26"/>
    <w:autoRedefine/>
    <w:semiHidden/>
    <w:unhideWhenUsed/>
    <w:qFormat/>
    <w:uiPriority w:val="99"/>
    <w:pPr>
      <w:ind w:left="100" w:leftChars="2500"/>
    </w:pPr>
  </w:style>
  <w:style w:type="paragraph" w:styleId="7">
    <w:name w:val="Balloon Text"/>
    <w:basedOn w:val="1"/>
    <w:link w:val="23"/>
    <w:autoRedefine/>
    <w:semiHidden/>
    <w:unhideWhenUsed/>
    <w:qFormat/>
    <w:uiPriority w:val="99"/>
    <w:rPr>
      <w:sz w:val="18"/>
      <w:szCs w:val="18"/>
    </w:rPr>
  </w:style>
  <w:style w:type="paragraph" w:styleId="8">
    <w:name w:val="footer"/>
    <w:basedOn w:val="1"/>
    <w:link w:val="22"/>
    <w:autoRedefine/>
    <w:unhideWhenUsed/>
    <w:qFormat/>
    <w:uiPriority w:val="99"/>
    <w:pPr>
      <w:tabs>
        <w:tab w:val="center" w:pos="4153"/>
        <w:tab w:val="right" w:pos="8306"/>
      </w:tabs>
      <w:snapToGrid w:val="0"/>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Normal (Web)"/>
    <w:basedOn w:val="1"/>
    <w:autoRedefine/>
    <w:semiHidden/>
    <w:unhideWhenUsed/>
    <w:qFormat/>
    <w:uiPriority w:val="99"/>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autoRedefine/>
    <w:qFormat/>
    <w:uiPriority w:val="99"/>
    <w:rPr>
      <w:rFonts w:cs="Times New Roman"/>
      <w:b/>
    </w:rPr>
  </w:style>
  <w:style w:type="character" w:customStyle="1" w:styleId="16">
    <w:name w:val="标题 1 Char"/>
    <w:link w:val="2"/>
    <w:autoRedefine/>
    <w:qFormat/>
    <w:locked/>
    <w:uiPriority w:val="99"/>
    <w:rPr>
      <w:rFonts w:cs="Times New Roman"/>
      <w:b/>
      <w:kern w:val="1"/>
      <w:sz w:val="44"/>
      <w:lang w:eastAsia="ar-SA" w:bidi="ar-SA"/>
    </w:rPr>
  </w:style>
  <w:style w:type="character" w:customStyle="1" w:styleId="17">
    <w:name w:val="标题 3 Char"/>
    <w:link w:val="3"/>
    <w:autoRedefine/>
    <w:qFormat/>
    <w:locked/>
    <w:uiPriority w:val="99"/>
    <w:rPr>
      <w:rFonts w:cs="Times New Roman"/>
      <w:b/>
      <w:kern w:val="21"/>
      <w:sz w:val="32"/>
      <w:lang w:eastAsia="ar-SA" w:bidi="ar-SA"/>
    </w:rPr>
  </w:style>
  <w:style w:type="paragraph" w:styleId="18">
    <w:name w:val="List Paragraph"/>
    <w:basedOn w:val="1"/>
    <w:autoRedefine/>
    <w:qFormat/>
    <w:uiPriority w:val="99"/>
    <w:pPr>
      <w:suppressAutoHyphens/>
      <w:ind w:firstLine="420" w:firstLineChars="200"/>
    </w:pPr>
    <w:rPr>
      <w:kern w:val="21"/>
      <w:lang w:eastAsia="ar-SA"/>
    </w:rPr>
  </w:style>
  <w:style w:type="paragraph" w:customStyle="1" w:styleId="19">
    <w:name w:val="段"/>
    <w:link w:val="2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autoRedefine/>
    <w:qFormat/>
    <w:locked/>
    <w:uiPriority w:val="0"/>
    <w:rPr>
      <w:rFonts w:ascii="宋体" w:cs="Times New Roman"/>
      <w:sz w:val="21"/>
      <w:lang w:val="en-US" w:eastAsia="zh-CN" w:bidi="ar-SA"/>
    </w:rPr>
  </w:style>
  <w:style w:type="character" w:customStyle="1" w:styleId="21">
    <w:name w:val="页眉 Char"/>
    <w:link w:val="9"/>
    <w:autoRedefine/>
    <w:qFormat/>
    <w:uiPriority w:val="99"/>
    <w:rPr>
      <w:sz w:val="18"/>
      <w:szCs w:val="18"/>
    </w:rPr>
  </w:style>
  <w:style w:type="character" w:customStyle="1" w:styleId="22">
    <w:name w:val="页脚 Char"/>
    <w:link w:val="8"/>
    <w:autoRedefine/>
    <w:qFormat/>
    <w:uiPriority w:val="99"/>
    <w:rPr>
      <w:sz w:val="18"/>
      <w:szCs w:val="18"/>
    </w:rPr>
  </w:style>
  <w:style w:type="character" w:customStyle="1" w:styleId="23">
    <w:name w:val="批注框文本 Char"/>
    <w:link w:val="7"/>
    <w:autoRedefine/>
    <w:semiHidden/>
    <w:qFormat/>
    <w:uiPriority w:val="99"/>
    <w:rPr>
      <w:kern w:val="2"/>
      <w:sz w:val="18"/>
      <w:szCs w:val="18"/>
    </w:rPr>
  </w:style>
  <w:style w:type="table" w:customStyle="1" w:styleId="24">
    <w:name w:val="浅色底纹1"/>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6"/>
    <w:autoRedefine/>
    <w:semiHidden/>
    <w:qFormat/>
    <w:uiPriority w:val="99"/>
    <w:rPr>
      <w:kern w:val="2"/>
      <w:sz w:val="21"/>
      <w:szCs w:val="24"/>
    </w:rPr>
  </w:style>
  <w:style w:type="character" w:customStyle="1" w:styleId="27">
    <w:name w:val="正文文本 Char"/>
    <w:basedOn w:val="14"/>
    <w:link w:val="5"/>
    <w:autoRedefine/>
    <w:qFormat/>
    <w:uiPriority w:val="0"/>
    <w:rPr>
      <w:kern w:val="2"/>
      <w:sz w:val="21"/>
      <w:szCs w:val="24"/>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autoRedefine/>
    <w:qFormat/>
    <w:uiPriority w:val="0"/>
    <w:rPr>
      <w:rFonts w:ascii="宋体"/>
      <w:sz w:val="21"/>
    </w:rPr>
  </w:style>
  <w:style w:type="paragraph" w:customStyle="1" w:styleId="30">
    <w:name w:val="一级条标题"/>
    <w:next w:val="19"/>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autoRedefine/>
    <w:qFormat/>
    <w:uiPriority w:val="0"/>
    <w:pPr>
      <w:numPr>
        <w:ilvl w:val="2"/>
        <w:numId w:val="1"/>
      </w:numPr>
      <w:spacing w:before="50" w:after="50"/>
      <w:outlineLvl w:val="3"/>
    </w:pPr>
  </w:style>
  <w:style w:type="paragraph" w:customStyle="1" w:styleId="32">
    <w:name w:val="附录表标题"/>
    <w:basedOn w:val="1"/>
    <w:next w:val="19"/>
    <w:autoRedefine/>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33">
    <w:name w:val="Table Paragraph"/>
    <w:basedOn w:val="1"/>
    <w:autoRedefine/>
    <w:qFormat/>
    <w:uiPriority w:val="1"/>
    <w:rPr>
      <w:rFonts w:ascii="宋体" w:hAnsi="宋体" w:eastAsia="宋体" w:cs="宋体"/>
    </w:rPr>
  </w:style>
  <w:style w:type="character" w:customStyle="1" w:styleId="34">
    <w:name w:val="章标题 Char"/>
    <w:basedOn w:val="14"/>
    <w:link w:val="35"/>
    <w:autoRedefine/>
    <w:qFormat/>
    <w:uiPriority w:val="0"/>
    <w:rPr>
      <w:rFonts w:ascii="黑体" w:hAnsi="Times New Roman" w:eastAsia="黑体" w:cs="Times New Roman"/>
      <w:sz w:val="21"/>
      <w:lang w:val="en-US" w:eastAsia="zh-CN" w:bidi="ar-SA"/>
    </w:rPr>
  </w:style>
  <w:style w:type="paragraph" w:customStyle="1" w:styleId="35">
    <w:name w:val="章标题"/>
    <w:next w:val="19"/>
    <w:link w:val="34"/>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6">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7">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8</Pages>
  <Words>3878</Words>
  <Characters>4151</Characters>
  <Lines>49</Lines>
  <Paragraphs>13</Paragraphs>
  <TotalTime>3</TotalTime>
  <ScaleCrop>false</ScaleCrop>
  <LinksUpToDate>false</LinksUpToDate>
  <CharactersWithSpaces>4254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2016-02-24T23:17:00Z</dcterms:created>
  <dc:creator>lenovo</dc:creator>
  <cp:lastModifiedBy>那苇一条芯 ^_^</cp:lastModifiedBy>
  <cp:lastPrinted>2017-01-18T23:31:00Z</cp:lastPrinted>
  <dcterms:modified xsi:type="dcterms:W3CDTF">2024-10-25T02:28:10Z</dcterms:modified>
  <cp:revision>536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5358681C68774B14B44F5BC92E82CA89_13</vt:lpwstr>
  </property>
</Properties>
</file>